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1B" w:rsidRPr="001B391B" w:rsidRDefault="001B391B" w:rsidP="001B391B">
      <w:pPr>
        <w:jc w:val="center"/>
        <w:rPr>
          <w:b/>
        </w:rPr>
      </w:pPr>
      <w:r w:rsidRPr="001B391B">
        <w:rPr>
          <w:b/>
        </w:rPr>
        <w:t xml:space="preserve">Regulation of the Federal Minister for Transport, Innovation and </w:t>
      </w:r>
      <w:r>
        <w:rPr>
          <w:b/>
        </w:rPr>
        <w:t xml:space="preserve">Technology in Implementation of </w:t>
      </w:r>
      <w:r w:rsidRPr="001B391B">
        <w:rPr>
          <w:b/>
        </w:rPr>
        <w:t>the Federal Law on the Authorisation of Space Activities and the Es</w:t>
      </w:r>
      <w:r>
        <w:rPr>
          <w:b/>
        </w:rPr>
        <w:t xml:space="preserve">tablishment of a National Space </w:t>
      </w:r>
      <w:r w:rsidRPr="001B391B">
        <w:rPr>
          <w:b/>
        </w:rPr>
        <w:t>Registry (Outer Space Regulation)</w:t>
      </w:r>
      <w:r>
        <w:t xml:space="preserve"> –</w:t>
      </w:r>
    </w:p>
    <w:p w:rsidR="001B391B" w:rsidRPr="00307AAD" w:rsidRDefault="001B391B" w:rsidP="001B391B">
      <w:pPr>
        <w:jc w:val="center"/>
        <w:rPr>
          <w:u w:val="single"/>
        </w:rPr>
      </w:pPr>
      <w:r w:rsidRPr="00307AAD">
        <w:rPr>
          <w:u w:val="single"/>
        </w:rPr>
        <w:t>Inofficial English translation</w:t>
      </w:r>
      <w:r>
        <w:rPr>
          <w:u w:val="single"/>
        </w:rPr>
        <w:t xml:space="preserve"> (</w:t>
      </w:r>
      <w:r>
        <w:rPr>
          <w:u w:val="single"/>
        </w:rPr>
        <w:t xml:space="preserve">as of </w:t>
      </w:r>
      <w:r w:rsidR="00D84E4F">
        <w:rPr>
          <w:u w:val="single"/>
        </w:rPr>
        <w:t>07</w:t>
      </w:r>
      <w:r>
        <w:rPr>
          <w:u w:val="single"/>
        </w:rPr>
        <w:t xml:space="preserve"> June 2022)</w:t>
      </w:r>
    </w:p>
    <w:p w:rsidR="001B391B" w:rsidRDefault="001B391B" w:rsidP="001B391B"/>
    <w:p w:rsidR="001B391B" w:rsidRDefault="001B391B" w:rsidP="001B391B">
      <w:r>
        <w:t>On the basis of § 12 of the Federal Law on the Authorisation of Space Activities and th</w:t>
      </w:r>
      <w:r w:rsidR="008E0571">
        <w:t xml:space="preserve">e </w:t>
      </w:r>
      <w:r>
        <w:t>Establishment of a National Registry (Outer Space Act), BGBl. I No. 132/2011, it is regulated:</w:t>
      </w:r>
    </w:p>
    <w:p w:rsidR="001B391B" w:rsidRDefault="001B391B" w:rsidP="001B391B"/>
    <w:p w:rsidR="001B391B" w:rsidRPr="001B391B" w:rsidRDefault="001B391B" w:rsidP="001B391B">
      <w:pPr>
        <w:rPr>
          <w:b/>
        </w:rPr>
      </w:pPr>
      <w:r w:rsidRPr="001B391B">
        <w:rPr>
          <w:b/>
        </w:rPr>
        <w:t>Scope of Application</w:t>
      </w:r>
      <w:bookmarkStart w:id="0" w:name="_GoBack"/>
      <w:bookmarkEnd w:id="0"/>
    </w:p>
    <w:p w:rsidR="001B391B" w:rsidRDefault="001B391B" w:rsidP="001B391B">
      <w:r>
        <w:t xml:space="preserve">§ 1. By this regulation the implementations necessary according to </w:t>
      </w:r>
      <w:r w:rsidR="008E0571">
        <w:t xml:space="preserve">§ 12 of the Outer Space Act are </w:t>
      </w:r>
      <w:r>
        <w:t>carried out.</w:t>
      </w:r>
    </w:p>
    <w:p w:rsidR="001B391B" w:rsidRDefault="001B391B" w:rsidP="001B391B"/>
    <w:p w:rsidR="001B391B" w:rsidRPr="001B391B" w:rsidRDefault="001B391B" w:rsidP="001B391B">
      <w:pPr>
        <w:rPr>
          <w:b/>
        </w:rPr>
      </w:pPr>
      <w:r w:rsidRPr="001B391B">
        <w:rPr>
          <w:b/>
        </w:rPr>
        <w:t>Request for Authorisation</w:t>
      </w:r>
    </w:p>
    <w:p w:rsidR="001B391B" w:rsidRDefault="001B391B" w:rsidP="001B391B">
      <w:r>
        <w:t xml:space="preserve">§ 2. (1) As evidence of the necessary reliability, capability and expertise </w:t>
      </w:r>
      <w:r w:rsidR="008E0571">
        <w:t xml:space="preserve">to carry out the space activity </w:t>
      </w:r>
      <w:r>
        <w:t>(§ 4, subparagraph 1, letter 1 of the Outer Space Act) the operator has to submit:</w:t>
      </w:r>
    </w:p>
    <w:p w:rsidR="001B391B" w:rsidRDefault="001B391B" w:rsidP="001B391B">
      <w:r>
        <w:t>1. a certificate about a security review undertaken in accordance w</w:t>
      </w:r>
      <w:r w:rsidR="008E0571">
        <w:t xml:space="preserve">ith the Federal Security Police </w:t>
      </w:r>
      <w:r>
        <w:t>Act, BGBl. No. 566/1991, as amended, or of a reliability review</w:t>
      </w:r>
      <w:r w:rsidR="008E0571">
        <w:t xml:space="preserve"> in accordance with the Federal </w:t>
      </w:r>
      <w:r>
        <w:t>Military Authority Act, BGBl. I No. 86/2000, as amended, of the opera</w:t>
      </w:r>
      <w:r w:rsidR="008E0571">
        <w:t xml:space="preserve">tor, or, in case of a juridical </w:t>
      </w:r>
      <w:r>
        <w:t>person, of the representative responsible for the space activity,</w:t>
      </w:r>
    </w:p>
    <w:p w:rsidR="001B391B" w:rsidRDefault="001B391B" w:rsidP="001B391B">
      <w:r>
        <w:t>2. evidences of qualification of the operator as well as of the p</w:t>
      </w:r>
      <w:r w:rsidR="008E0571">
        <w:t xml:space="preserve">ersons cooperating in the space </w:t>
      </w:r>
      <w:r>
        <w:t>activity,</w:t>
      </w:r>
    </w:p>
    <w:p w:rsidR="001B391B" w:rsidRDefault="001B391B" w:rsidP="001B391B">
      <w:r>
        <w:t>3. a list of activities previously carried out by the operator in t</w:t>
      </w:r>
      <w:r w:rsidR="008E0571">
        <w:t xml:space="preserve">he field of space technology or </w:t>
      </w:r>
      <w:r>
        <w:t>related fields,</w:t>
      </w:r>
    </w:p>
    <w:p w:rsidR="001B391B" w:rsidRDefault="001B391B" w:rsidP="001B391B">
      <w:r>
        <w:t>4. evidence of the financial capacity of the operator as well as a</w:t>
      </w:r>
      <w:r w:rsidR="008E0571">
        <w:t xml:space="preserve"> costs projection and financing </w:t>
      </w:r>
      <w:r>
        <w:t>plan of the space activity,</w:t>
      </w:r>
    </w:p>
    <w:p w:rsidR="001B391B" w:rsidRDefault="001B391B" w:rsidP="001B391B">
      <w:r>
        <w:t>5. all contracts in relation to the space activity, in particular</w:t>
      </w:r>
      <w:r w:rsidR="008E0571">
        <w:t xml:space="preserve"> the launch contract and supply </w:t>
      </w:r>
      <w:r>
        <w:t>contracts,</w:t>
      </w:r>
    </w:p>
    <w:p w:rsidR="001B391B" w:rsidRDefault="001B391B" w:rsidP="001B391B">
      <w:r>
        <w:t>6. a concept demonstrating the planned task, purpose and objective of the space activity,</w:t>
      </w:r>
    </w:p>
    <w:p w:rsidR="001B391B" w:rsidRDefault="001B391B" w:rsidP="001B391B">
      <w:r>
        <w:t>7. evidence that presents the technical details of the space activi</w:t>
      </w:r>
      <w:r w:rsidR="008E0571">
        <w:t xml:space="preserve">ty, in particular the envisaged </w:t>
      </w:r>
      <w:r>
        <w:t xml:space="preserve">frequency spectrum and orbital position, the energy supply, the description of the </w:t>
      </w:r>
      <w:r w:rsidR="008E0571">
        <w:t xml:space="preserve">intended </w:t>
      </w:r>
      <w:r>
        <w:t>payload, the communication strategy, the technical details of t</w:t>
      </w:r>
      <w:r w:rsidR="008E0571">
        <w:t xml:space="preserve">he ground station, technologies </w:t>
      </w:r>
      <w:r>
        <w:t>used at subsystem level and</w:t>
      </w:r>
    </w:p>
    <w:p w:rsidR="001B391B" w:rsidRDefault="001B391B" w:rsidP="001B391B">
      <w:r>
        <w:t>8. documentation about the duration and termination of the space activity.</w:t>
      </w:r>
    </w:p>
    <w:p w:rsidR="001B391B" w:rsidRDefault="001B391B" w:rsidP="001B391B">
      <w:r>
        <w:t>(2) As evidence that the space activity does not pose an immediate thr</w:t>
      </w:r>
      <w:r w:rsidR="008E0571">
        <w:t xml:space="preserve">eat to public order, the safety </w:t>
      </w:r>
      <w:r>
        <w:t>of persons and property and to public health (§ 4, subparagraph 1, le</w:t>
      </w:r>
      <w:r w:rsidR="008E0571">
        <w:t xml:space="preserve">tter 2 of the Outer Space Act), </w:t>
      </w:r>
      <w:r>
        <w:t>the operator has to submit:</w:t>
      </w:r>
    </w:p>
    <w:p w:rsidR="001B391B" w:rsidRDefault="001B391B" w:rsidP="001B391B">
      <w:r>
        <w:t>1. evidence of compliance with state of knowledge based on the r</w:t>
      </w:r>
      <w:r w:rsidR="008E0571">
        <w:t xml:space="preserve">elevant scientific knowledge of </w:t>
      </w:r>
      <w:r>
        <w:t>advanced techniques, facilities, construction and operation methods, whose functional operability</w:t>
      </w:r>
      <w:r w:rsidR="008E0571">
        <w:t xml:space="preserve"> </w:t>
      </w:r>
      <w:r>
        <w:t>has been tested and proven. If compliance is not an option in the case at hand or if evidence of it</w:t>
      </w:r>
      <w:r w:rsidR="008E0571">
        <w:t xml:space="preserve"> </w:t>
      </w:r>
      <w:r>
        <w:t xml:space="preserve">is </w:t>
      </w:r>
      <w:r>
        <w:lastRenderedPageBreak/>
        <w:t>not possible, it must be credibly demonstrated that the space activity nevertheless do</w:t>
      </w:r>
      <w:r w:rsidR="008E0571">
        <w:t xml:space="preserve">es not </w:t>
      </w:r>
      <w:r>
        <w:t>pose an immediate threat to public order, the safety of persons and property and to public health,</w:t>
      </w:r>
    </w:p>
    <w:p w:rsidR="001B391B" w:rsidRDefault="001B391B" w:rsidP="001B391B">
      <w:r>
        <w:t>2. the results of the tests carried out to verify the safety and solidit</w:t>
      </w:r>
      <w:r w:rsidR="008E0571">
        <w:t xml:space="preserve">y of the space object according </w:t>
      </w:r>
      <w:r>
        <w:t>to the state of the art,</w:t>
      </w:r>
    </w:p>
    <w:p w:rsidR="001B391B" w:rsidRDefault="001B391B" w:rsidP="001B391B">
      <w:r>
        <w:t>3. the emergency plans developed for the event of a failu</w:t>
      </w:r>
      <w:r w:rsidR="008E0571">
        <w:t xml:space="preserve">re of the communication or data </w:t>
      </w:r>
      <w:r>
        <w:t>connections, the loss of control over the space object, the failure</w:t>
      </w:r>
      <w:r w:rsidR="008E0571">
        <w:t xml:space="preserve"> of essential systems for power </w:t>
      </w:r>
      <w:r>
        <w:t>supply, attitude control or control of the trajectory and similar exceptional operating events and</w:t>
      </w:r>
    </w:p>
    <w:p w:rsidR="001B391B" w:rsidRDefault="001B391B" w:rsidP="001B391B">
      <w:r>
        <w:t>4. information to what extent the space activity involves the ob</w:t>
      </w:r>
      <w:r w:rsidR="008E0571">
        <w:t xml:space="preserve">servation of the Earth and what </w:t>
      </w:r>
      <w:r>
        <w:t>kind of data is thereby collected. In particular, the degree of resol</w:t>
      </w:r>
      <w:r w:rsidR="008E0571">
        <w:t xml:space="preserve">ution of possible images of the </w:t>
      </w:r>
      <w:r>
        <w:t>surface of the Earth as well as the planned transfer of raw or proce</w:t>
      </w:r>
      <w:r w:rsidR="008E0571">
        <w:t xml:space="preserve">ssed data must be indicated. In </w:t>
      </w:r>
      <w:r>
        <w:t>case the space activity involves the processing of data within the</w:t>
      </w:r>
      <w:r w:rsidR="008E0571">
        <w:t xml:space="preserve"> meaning of the</w:t>
      </w:r>
      <w:r w:rsidR="00352204">
        <w:t>Regulation (EU) 2016/679 (General Data Protection Regulation), OJ L 119</w:t>
      </w:r>
      <w:r w:rsidR="007E5C03">
        <w:t xml:space="preserve">, 04.05.2016, p. 1. and the </w:t>
      </w:r>
      <w:r w:rsidR="007E5C03" w:rsidRPr="007E5C03">
        <w:t>Federal Act on</w:t>
      </w:r>
      <w:r w:rsidR="007E5C03">
        <w:t xml:space="preserve"> the Protection of Individuals with r</w:t>
      </w:r>
      <w:r w:rsidR="007E5C03" w:rsidRPr="007E5C03">
        <w:t>egard to the Processing of Personal Data (Data Protection Ac</w:t>
      </w:r>
      <w:r w:rsidR="007E5C03">
        <w:t>t – DSG, BGBl. I No. 165/1999,</w:t>
      </w:r>
      <w:r w:rsidR="007E5C03" w:rsidRPr="007E5C03">
        <w:t xml:space="preserve"> </w:t>
      </w:r>
      <w:r w:rsidR="00352204">
        <w:t>(</w:t>
      </w:r>
      <w:r>
        <w:t xml:space="preserve">, the necessary </w:t>
      </w:r>
      <w:r w:rsidR="008E0571">
        <w:t xml:space="preserve">licenses for the processing and </w:t>
      </w:r>
      <w:r>
        <w:t>transfer of these data must be provided.</w:t>
      </w:r>
    </w:p>
    <w:p w:rsidR="001B391B" w:rsidRDefault="001B391B" w:rsidP="001B391B">
      <w:r>
        <w:t xml:space="preserve">(3) As evidence that the space activity does not run counter to national </w:t>
      </w:r>
      <w:r w:rsidR="008E0571">
        <w:t xml:space="preserve">security, Austria’s obligations </w:t>
      </w:r>
      <w:r>
        <w:t>under international law or Austrian foreign policy interests (§ 4, subpar</w:t>
      </w:r>
      <w:r w:rsidR="008E0571">
        <w:t xml:space="preserve">agraph 1, letter 3 of the Outer </w:t>
      </w:r>
      <w:r>
        <w:t xml:space="preserve">Space Act), the documents provided in accordance with subparagraph </w:t>
      </w:r>
      <w:r w:rsidR="008E0571">
        <w:t xml:space="preserve">1 are reviewed, in addition the </w:t>
      </w:r>
      <w:r>
        <w:t>operator has to submit in particular:</w:t>
      </w:r>
    </w:p>
    <w:p w:rsidR="001B391B" w:rsidRDefault="001B391B" w:rsidP="001B391B">
      <w:r>
        <w:t>1. documents providing information on the planned use and the reci</w:t>
      </w:r>
      <w:r w:rsidR="008E0571">
        <w:t xml:space="preserve">pients of the data collected in </w:t>
      </w:r>
      <w:r>
        <w:t>accordance with subparagraph 2, letter 4,</w:t>
      </w:r>
    </w:p>
    <w:p w:rsidR="001B391B" w:rsidRDefault="001B391B" w:rsidP="001B391B">
      <w:r>
        <w:t>2. information on the payload of the space object.</w:t>
      </w:r>
    </w:p>
    <w:p w:rsidR="001B391B" w:rsidRDefault="001B391B" w:rsidP="001B391B">
      <w:r>
        <w:t>(4) As evidence of appropriate provisions for the mitigation of space d</w:t>
      </w:r>
      <w:r w:rsidR="008E0571">
        <w:t xml:space="preserve">ebris in accordance with § 5 of </w:t>
      </w:r>
      <w:r>
        <w:t xml:space="preserve">the Outer Space Act (§ 4, subparagraph 1, letter 4 of the Outer </w:t>
      </w:r>
      <w:r w:rsidR="008E0571">
        <w:t xml:space="preserve">Space Act), the operator has to </w:t>
      </w:r>
      <w:r>
        <w:t>submit:</w:t>
      </w:r>
    </w:p>
    <w:p w:rsidR="001B391B" w:rsidRDefault="001B391B" w:rsidP="001B391B">
      <w:r>
        <w:t xml:space="preserve">1. a report [on the measures adopted] according to the state of the </w:t>
      </w:r>
      <w:r w:rsidR="008E0571">
        <w:t xml:space="preserve">art and in consideration of the </w:t>
      </w:r>
      <w:r>
        <w:t>internationally accepted guidelines, in particular</w:t>
      </w:r>
    </w:p>
    <w:p w:rsidR="001B391B" w:rsidRDefault="001B391B" w:rsidP="001B391B">
      <w:r>
        <w:t>a) for the avoidance of space debris and mission residue released during normal operations,</w:t>
      </w:r>
    </w:p>
    <w:p w:rsidR="001B391B" w:rsidRDefault="001B391B" w:rsidP="001B391B">
      <w:r>
        <w:t>b) for the prevention of on-orbit break-ups of the space object,</w:t>
      </w:r>
    </w:p>
    <w:p w:rsidR="001B391B" w:rsidRDefault="001B391B" w:rsidP="001B391B">
      <w:r>
        <w:t>c) for the removal of the space object from Earth orbit at the end o</w:t>
      </w:r>
      <w:r w:rsidR="008E0571">
        <w:t xml:space="preserve">f the space activity, either by </w:t>
      </w:r>
      <w:r>
        <w:t>controlled re-entry or by moving the space object to a sufficient</w:t>
      </w:r>
      <w:r w:rsidR="008E0571">
        <w:t xml:space="preserve">ly high Earth orbit (“graveyard </w:t>
      </w:r>
      <w:r>
        <w:t>orbit”), while for non-manoeuvrable space objects the Earth orbit</w:t>
      </w:r>
      <w:r w:rsidR="008E0571">
        <w:t xml:space="preserve"> is to be chosen such that they </w:t>
      </w:r>
      <w:r>
        <w:t>do not remain in Earth orbit for more than 25 years after the end of their operation,</w:t>
      </w:r>
    </w:p>
    <w:p w:rsidR="001B391B" w:rsidRDefault="001B391B" w:rsidP="001B391B">
      <w:r>
        <w:t>2. a demonstration of measures adopted for the prevention of on-orbit collisio</w:t>
      </w:r>
      <w:r w:rsidR="008E0571">
        <w:t xml:space="preserve">ns with other space </w:t>
      </w:r>
      <w:r>
        <w:t>objects.</w:t>
      </w:r>
    </w:p>
    <w:p w:rsidR="001B391B" w:rsidRDefault="001B391B" w:rsidP="001B391B">
      <w:r>
        <w:t>(5) As evidence that the space object does not contain dangerous s</w:t>
      </w:r>
      <w:r w:rsidR="008E0571">
        <w:t xml:space="preserve">ubstances or substances harmful </w:t>
      </w:r>
      <w:r>
        <w:t>to health, which could cause harmful contamination of outer space or adverse changes in the</w:t>
      </w:r>
      <w:r w:rsidR="008E0571">
        <w:t xml:space="preserve"> </w:t>
      </w:r>
      <w:r>
        <w:t>environment (§ 4, subparagraph 1, letter 5 of the Outer Space Act)</w:t>
      </w:r>
      <w:r w:rsidR="008E0571">
        <w:t xml:space="preserve">, appropriate documents must be </w:t>
      </w:r>
      <w:r>
        <w:t>submitted by the operator.</w:t>
      </w:r>
    </w:p>
    <w:p w:rsidR="001B391B" w:rsidRDefault="001B391B" w:rsidP="001B391B">
      <w:r>
        <w:t>(6) As evidence that the frequencies and orbital positions necessary</w:t>
      </w:r>
      <w:r w:rsidR="008E0571">
        <w:t xml:space="preserve"> for the radio operation of the </w:t>
      </w:r>
      <w:r>
        <w:t xml:space="preserve">space object may be used lawfully, the operator must submit </w:t>
      </w:r>
      <w:r w:rsidR="008E0571">
        <w:t xml:space="preserve">the appropriate licenses or the </w:t>
      </w:r>
      <w:r>
        <w:lastRenderedPageBreak/>
        <w:t>documents required for the frequency coordination with the International Telecommunication Union</w:t>
      </w:r>
      <w:r w:rsidR="008E0571">
        <w:t xml:space="preserve"> </w:t>
      </w:r>
      <w:r>
        <w:t>(ITU) (§ 4, subparagraph 1, letter 6 of the Outer Space Act).</w:t>
      </w:r>
    </w:p>
    <w:p w:rsidR="001B391B" w:rsidRDefault="001B391B" w:rsidP="001B391B">
      <w:r>
        <w:t>(7) As evidence of having taken out insurance according to § 4, su</w:t>
      </w:r>
      <w:r w:rsidR="008E0571">
        <w:t xml:space="preserve">bparagraph 4 of the Outer Space </w:t>
      </w:r>
      <w:r>
        <w:t>Act, the operator must submit appropriate documents, unless he</w:t>
      </w:r>
      <w:r w:rsidR="008E0571">
        <w:t xml:space="preserve"> applies for exemption from the </w:t>
      </w:r>
      <w:r>
        <w:t>insurance requirement or a reduction of the insurance sum accord</w:t>
      </w:r>
      <w:r w:rsidR="008E0571">
        <w:t xml:space="preserve">ing to § 3 or the Federal State </w:t>
      </w:r>
      <w:r>
        <w:t>itself is the operator of the space activity.</w:t>
      </w:r>
    </w:p>
    <w:p w:rsidR="001B391B" w:rsidRDefault="001B391B" w:rsidP="001B391B"/>
    <w:p w:rsidR="001B391B" w:rsidRPr="001B391B" w:rsidRDefault="001B391B" w:rsidP="001B391B">
      <w:pPr>
        <w:rPr>
          <w:b/>
        </w:rPr>
      </w:pPr>
      <w:r w:rsidRPr="001B391B">
        <w:rPr>
          <w:b/>
        </w:rPr>
        <w:t>Application for exemption from the insurance requirement or reduction of the insurance sum</w:t>
      </w:r>
    </w:p>
    <w:p w:rsidR="001B391B" w:rsidRDefault="001B391B" w:rsidP="001B391B">
      <w:r>
        <w:t>§ 3. The operator may apply for exemption from the insurance re</w:t>
      </w:r>
      <w:r w:rsidR="008E0571">
        <w:t xml:space="preserve">quirement or a reduction of the </w:t>
      </w:r>
      <w:r>
        <w:t>insurance sum according to § 4, subparagraph 4 of the Outer Spac</w:t>
      </w:r>
      <w:r w:rsidR="008E0571">
        <w:t xml:space="preserve">e Act. For that purpose he must </w:t>
      </w:r>
      <w:r>
        <w:t>provide documents demonstrating</w:t>
      </w:r>
    </w:p>
    <w:p w:rsidR="001B391B" w:rsidRDefault="001B391B" w:rsidP="001B391B">
      <w:r>
        <w:t>1. to what extent the space activity serves science, research or education,</w:t>
      </w:r>
    </w:p>
    <w:p w:rsidR="001B391B" w:rsidRDefault="001B391B" w:rsidP="001B391B">
      <w:r>
        <w:t>2. the risks connected to the activity and</w:t>
      </w:r>
    </w:p>
    <w:p w:rsidR="001B391B" w:rsidRDefault="001B391B" w:rsidP="001B391B">
      <w:r>
        <w:t>3. the operator’s financial capacity to cover liability for damages caused to persons or property.</w:t>
      </w:r>
    </w:p>
    <w:p w:rsidR="001B391B" w:rsidRDefault="001B391B" w:rsidP="001B391B"/>
    <w:p w:rsidR="001B391B" w:rsidRPr="001B391B" w:rsidRDefault="001B391B" w:rsidP="001B391B">
      <w:pPr>
        <w:rPr>
          <w:b/>
        </w:rPr>
      </w:pPr>
      <w:r w:rsidRPr="001B391B">
        <w:rPr>
          <w:b/>
        </w:rPr>
        <w:t>Procedure</w:t>
      </w:r>
    </w:p>
    <w:p w:rsidR="001B391B" w:rsidRDefault="001B391B" w:rsidP="001B391B">
      <w:r>
        <w:t>§ 4. (1) To the procedure, unless otherwise provided by the present R</w:t>
      </w:r>
      <w:r w:rsidR="008E0571">
        <w:t xml:space="preserve">egulation or by the Outer Space </w:t>
      </w:r>
      <w:r>
        <w:t xml:space="preserve">Act, the provisions of the General Administrative Procedures </w:t>
      </w:r>
      <w:r w:rsidR="008E0571">
        <w:t xml:space="preserve">Act 1991, BGBl. No. 51/1991, as </w:t>
      </w:r>
      <w:r>
        <w:t>amended, apply.</w:t>
      </w:r>
    </w:p>
    <w:p w:rsidR="001B391B" w:rsidRDefault="001B391B" w:rsidP="001B391B">
      <w:r>
        <w:t>(2) The operator has to submit all the documents required fo</w:t>
      </w:r>
      <w:r w:rsidR="008E0571">
        <w:t xml:space="preserve">r the request for authorisation </w:t>
      </w:r>
      <w:r>
        <w:t>according to this Regulation to the competent authority. These docume</w:t>
      </w:r>
      <w:r w:rsidR="008E0571">
        <w:t xml:space="preserve">nts should, as far as possible, </w:t>
      </w:r>
      <w:r>
        <w:t>be provided in electronic form.</w:t>
      </w:r>
    </w:p>
    <w:p w:rsidR="001B391B" w:rsidRDefault="001B391B" w:rsidP="001B391B">
      <w:r>
        <w:t>(3)</w:t>
      </w:r>
      <w:r w:rsidR="007E5C03">
        <w:t xml:space="preserve"> </w:t>
      </w:r>
      <w:r>
        <w:t xml:space="preserve">The operator has to specifically identify documents, which, in his </w:t>
      </w:r>
      <w:r w:rsidR="008E0571">
        <w:t xml:space="preserve">view, contain trade or business </w:t>
      </w:r>
      <w:r>
        <w:t>secrets. The protection of trade and business secrets is to be taken into account.</w:t>
      </w:r>
    </w:p>
    <w:p w:rsidR="001B391B" w:rsidRDefault="001B391B" w:rsidP="001B391B">
      <w:r>
        <w:t>(4) If documents required under subparagraph 2 are missing in the requ</w:t>
      </w:r>
      <w:r w:rsidR="008E0571">
        <w:t xml:space="preserve">est for authorisation or if the </w:t>
      </w:r>
      <w:r>
        <w:t>information provided in the request for authorisation is not comple</w:t>
      </w:r>
      <w:r w:rsidR="008E0571">
        <w:t xml:space="preserve">te, even when this turns out in </w:t>
      </w:r>
      <w:r>
        <w:t>the course of the procedure, the authority has to assign the opera</w:t>
      </w:r>
      <w:r w:rsidR="008E0571">
        <w:t xml:space="preserve">tor to complete the request for </w:t>
      </w:r>
      <w:r>
        <w:t>authorisation.</w:t>
      </w:r>
    </w:p>
    <w:p w:rsidR="001B391B" w:rsidRDefault="001B391B" w:rsidP="001B391B">
      <w:r>
        <w:t>(5) The request for authorisation is to be dismissed at any stage of the</w:t>
      </w:r>
      <w:r w:rsidR="008E0571">
        <w:t xml:space="preserve"> procedure, if in the course of </w:t>
      </w:r>
      <w:r>
        <w:t>the procedure it turns out in an undoubted manner that the pro</w:t>
      </w:r>
      <w:r w:rsidR="008E0571">
        <w:t xml:space="preserve">ject is in conflict to specific </w:t>
      </w:r>
      <w:r>
        <w:t>conditions for authorisation to an extent that the deficiency cann</w:t>
      </w:r>
      <w:r w:rsidR="008E0571">
        <w:t xml:space="preserve">ot be remedied by conditions or </w:t>
      </w:r>
      <w:r>
        <w:t>requirements.</w:t>
      </w:r>
    </w:p>
    <w:p w:rsidR="001B391B" w:rsidRDefault="001B391B" w:rsidP="001B391B">
      <w:r>
        <w:t>(6) If the submission of documents according to § 2, subparagraph 1,</w:t>
      </w:r>
      <w:r w:rsidR="008E0571">
        <w:t xml:space="preserve"> letter 5 and § 2, subparagraph </w:t>
      </w:r>
      <w:r>
        <w:t>2, letter 2 is not possible at the time of submitting the request for a</w:t>
      </w:r>
      <w:r w:rsidR="008E0571">
        <w:t xml:space="preserve">uthorisation, the operator must </w:t>
      </w:r>
      <w:r>
        <w:t>inform about and justify this fact in the request. The launch service pr</w:t>
      </w:r>
      <w:r w:rsidR="008E0571">
        <w:t xml:space="preserve">ovider envisaged according to § </w:t>
      </w:r>
      <w:r>
        <w:t>2, subparagraph 1, letter 5 must be stated at the time of the dec</w:t>
      </w:r>
      <w:r w:rsidR="008E0571">
        <w:t xml:space="preserve">ision regarding the request for </w:t>
      </w:r>
      <w:r>
        <w:t>authorisation at the latest. The submission of missing documents ac</w:t>
      </w:r>
      <w:r w:rsidR="008E0571">
        <w:t xml:space="preserve">cording to § 2, subparagraph 1, </w:t>
      </w:r>
      <w:r>
        <w:t>letter 5 and § 2, subparagraph 2, letter 2 is to be requeste</w:t>
      </w:r>
      <w:r w:rsidR="008E0571">
        <w:t xml:space="preserve">d from the operator by means of </w:t>
      </w:r>
      <w:r>
        <w:t>conditions and requirements.</w:t>
      </w:r>
    </w:p>
    <w:p w:rsidR="001B391B" w:rsidRDefault="001B391B" w:rsidP="001B391B"/>
    <w:p w:rsidR="001B391B" w:rsidRPr="001B391B" w:rsidRDefault="001B391B" w:rsidP="001B391B">
      <w:pPr>
        <w:rPr>
          <w:b/>
        </w:rPr>
      </w:pPr>
      <w:r w:rsidRPr="001B391B">
        <w:rPr>
          <w:b/>
        </w:rPr>
        <w:lastRenderedPageBreak/>
        <w:t>Review of the conditions for authorisation</w:t>
      </w:r>
    </w:p>
    <w:p w:rsidR="001B391B" w:rsidRDefault="001B391B" w:rsidP="001B391B">
      <w:r>
        <w:t>§ 5. (1) The review of the conditions for authorisation according t</w:t>
      </w:r>
      <w:r w:rsidR="008E0571">
        <w:t xml:space="preserve">o § 2 and of the exemption from </w:t>
      </w:r>
      <w:r>
        <w:t>the insurance requirement or the reduction of the insurance sum a</w:t>
      </w:r>
      <w:r w:rsidR="008E0571">
        <w:t xml:space="preserve">ccording to § 3 is incumbent on </w:t>
      </w:r>
      <w:r>
        <w:t>the Federal Minister for Transport, Innovation and Technology.</w:t>
      </w:r>
    </w:p>
    <w:p w:rsidR="001B391B" w:rsidRDefault="001B391B" w:rsidP="001B391B">
      <w:r>
        <w:t>(2) If the nature, the extent or the complexity of the request so req</w:t>
      </w:r>
      <w:r w:rsidR="008E0571">
        <w:t xml:space="preserve">uires, the Federal Minister for </w:t>
      </w:r>
      <w:r>
        <w:t>Transport, Innovation and Technology may appoint additional</w:t>
      </w:r>
      <w:r w:rsidR="008E0571">
        <w:t xml:space="preserve"> certified experts. There is no </w:t>
      </w:r>
      <w:r>
        <w:t>entitlement to the appointment as certified expert.</w:t>
      </w:r>
    </w:p>
    <w:p w:rsidR="001B391B" w:rsidRDefault="001B391B" w:rsidP="001B391B">
      <w:r>
        <w:t>(3) With regard to the review under subparagraph 1 the Federal Min</w:t>
      </w:r>
      <w:r w:rsidR="008E0571">
        <w:t xml:space="preserve">ister for Transport, Innovation </w:t>
      </w:r>
      <w:r>
        <w:t>and Technology may request an opinion from the Austrian Researc</w:t>
      </w:r>
      <w:r w:rsidR="008E0571">
        <w:t xml:space="preserve">h Promotion Agency (FFG) and/or </w:t>
      </w:r>
      <w:r>
        <w:t>the European Space Agency (ESA).</w:t>
      </w:r>
    </w:p>
    <w:p w:rsidR="001B391B" w:rsidRDefault="001B391B" w:rsidP="001B391B">
      <w:r>
        <w:t>(4) The continuing supervision and control of the space acti</w:t>
      </w:r>
      <w:r w:rsidR="008E0571">
        <w:t xml:space="preserve">vity according to § 7 and § 13, </w:t>
      </w:r>
      <w:r>
        <w:t xml:space="preserve">subparagraph 1 of the Outer Space Act is to be exercised by the </w:t>
      </w:r>
      <w:r w:rsidR="008E0571">
        <w:t xml:space="preserve">Federal Minister for Transport, </w:t>
      </w:r>
      <w:r>
        <w:t>Innovation and Technology.</w:t>
      </w:r>
    </w:p>
    <w:p w:rsidR="001B391B" w:rsidRDefault="001B391B" w:rsidP="001B391B"/>
    <w:p w:rsidR="001B391B" w:rsidRPr="001B391B" w:rsidRDefault="001B391B" w:rsidP="001B391B">
      <w:pPr>
        <w:rPr>
          <w:b/>
        </w:rPr>
      </w:pPr>
      <w:r w:rsidRPr="001B391B">
        <w:rPr>
          <w:b/>
        </w:rPr>
        <w:t>Registration</w:t>
      </w:r>
    </w:p>
    <w:p w:rsidR="001B391B" w:rsidRDefault="001B391B" w:rsidP="001B391B">
      <w:r>
        <w:t>§ 6. (1) The operator must provide the information according to § 10</w:t>
      </w:r>
      <w:r w:rsidR="008E0571">
        <w:t xml:space="preserve"> of the Outer Space Act as well </w:t>
      </w:r>
      <w:r>
        <w:t>as the information listed in subparagraphs 2 and 3 immediately afte</w:t>
      </w:r>
      <w:r w:rsidR="008E0571">
        <w:t xml:space="preserve">r the launch, and at the latest </w:t>
      </w:r>
      <w:r>
        <w:t>within two weeks, in the German and in the English language.</w:t>
      </w:r>
    </w:p>
    <w:p w:rsidR="001B391B" w:rsidRDefault="001B391B" w:rsidP="001B391B">
      <w:r>
        <w:t>(2) In addition to the information according to § 10 of the Out</w:t>
      </w:r>
      <w:r w:rsidR="008E0571">
        <w:t xml:space="preserve">er Space Act, the operator must </w:t>
      </w:r>
      <w:r>
        <w:t>provide the following information for the registration of the space object:</w:t>
      </w:r>
    </w:p>
    <w:p w:rsidR="001B391B" w:rsidRDefault="001B391B" w:rsidP="001B391B">
      <w:r>
        <w:t>1. the Committee on Space Research (COSPAR) international designator, where appropriate,</w:t>
      </w:r>
    </w:p>
    <w:p w:rsidR="001B391B" w:rsidRDefault="001B391B" w:rsidP="001B391B">
      <w:r>
        <w:t>2. the date and the Coordinated Universal Time (UTC) as the time of the launch,</w:t>
      </w:r>
    </w:p>
    <w:p w:rsidR="001B391B" w:rsidRDefault="001B391B" w:rsidP="001B391B">
      <w:r>
        <w:t>3. the expected date and Coordinated Universal Time (UTC) of the re-entry of the space object,</w:t>
      </w:r>
    </w:p>
    <w:p w:rsidR="001B391B" w:rsidRDefault="001B391B" w:rsidP="001B391B">
      <w:r>
        <w:t xml:space="preserve">4. the date and the Coordinated Universal Time (UTC) of moving the space object to a </w:t>
      </w:r>
      <w:r w:rsidR="008E0571">
        <w:t xml:space="preserve">disposal </w:t>
      </w:r>
      <w:r>
        <w:t>orbit,</w:t>
      </w:r>
    </w:p>
    <w:p w:rsidR="001B391B" w:rsidRDefault="001B391B" w:rsidP="001B391B">
      <w:r>
        <w:t>5. the web link to the official information on the space object,</w:t>
      </w:r>
    </w:p>
    <w:p w:rsidR="001B391B" w:rsidRDefault="001B391B" w:rsidP="001B391B">
      <w:r>
        <w:t>6. the spacecraft which is or was used to launch the space object, and</w:t>
      </w:r>
    </w:p>
    <w:p w:rsidR="001B391B" w:rsidRDefault="001B391B" w:rsidP="001B391B">
      <w:r>
        <w:t>7. the celestial body the space object is orbiting.</w:t>
      </w:r>
    </w:p>
    <w:p w:rsidR="001B391B" w:rsidRDefault="001B391B" w:rsidP="001B391B">
      <w:r>
        <w:t>(3) In case of a change of operator the original operator must provide the following information:</w:t>
      </w:r>
    </w:p>
    <w:p w:rsidR="001B391B" w:rsidRDefault="001B391B" w:rsidP="001B391B">
      <w:r>
        <w:t>1. the date and the Coordinated Universal Time (UTC) of the change of operator,</w:t>
      </w:r>
    </w:p>
    <w:p w:rsidR="001B391B" w:rsidRDefault="001B391B" w:rsidP="001B391B">
      <w:r>
        <w:t>2. the identification of the new operator,</w:t>
      </w:r>
    </w:p>
    <w:p w:rsidR="001B391B" w:rsidRDefault="001B391B" w:rsidP="001B391B">
      <w:r>
        <w:t>3. in case of a change of orbital position, the parameters of the or</w:t>
      </w:r>
      <w:r w:rsidR="008E0571">
        <w:t xml:space="preserve">iginal orbital position as well </w:t>
      </w:r>
      <w:r>
        <w:t>as the parameters of the new orbital position, and</w:t>
      </w:r>
    </w:p>
    <w:p w:rsidR="001B391B" w:rsidRDefault="001B391B" w:rsidP="001B391B">
      <w:r>
        <w:t>4. any change of function of the space object.</w:t>
      </w:r>
    </w:p>
    <w:p w:rsidR="001B391B" w:rsidRDefault="001B391B" w:rsidP="001B391B">
      <w:r>
        <w:t>(4) The operator shall be issued a certificate attesting the registration.</w:t>
      </w:r>
    </w:p>
    <w:p w:rsidR="001B391B" w:rsidRDefault="001B391B" w:rsidP="001B391B">
      <w:r>
        <w:t>(5) Access to the register is open to any person, who can demonstrate a legitimate interest.</w:t>
      </w:r>
    </w:p>
    <w:p w:rsidR="001B391B" w:rsidRDefault="001B391B" w:rsidP="001B391B"/>
    <w:p w:rsidR="001B391B" w:rsidRPr="001B391B" w:rsidRDefault="001B391B" w:rsidP="001B391B">
      <w:pPr>
        <w:rPr>
          <w:b/>
        </w:rPr>
      </w:pPr>
      <w:r w:rsidRPr="001B391B">
        <w:rPr>
          <w:b/>
        </w:rPr>
        <w:lastRenderedPageBreak/>
        <w:t>Costs of review</w:t>
      </w:r>
    </w:p>
    <w:p w:rsidR="001B391B" w:rsidRDefault="001B391B" w:rsidP="001B391B">
      <w:r>
        <w:t>§ 7. (1) The costs for the review of the operator’s reliability according t</w:t>
      </w:r>
      <w:r w:rsidR="008E0571">
        <w:t xml:space="preserve">o § 2, subparagraph 1, letter 1 </w:t>
      </w:r>
      <w:r>
        <w:t xml:space="preserve">are borne by the operator. They are determined according to § 5 </w:t>
      </w:r>
      <w:r w:rsidR="008E0571">
        <w:t xml:space="preserve">of the Security Fees Regulation </w:t>
      </w:r>
      <w:r>
        <w:t>(BGBl. No. 389/1996, as amended).</w:t>
      </w:r>
    </w:p>
    <w:p w:rsidR="001B391B" w:rsidRDefault="001B391B" w:rsidP="001B391B">
      <w:r>
        <w:t xml:space="preserve">(2) The costs for the review by qualified experts according to § 5, </w:t>
      </w:r>
      <w:r w:rsidR="008E0571">
        <w:t xml:space="preserve">subparagraph 2 are borne by the </w:t>
      </w:r>
      <w:r>
        <w:t>operator.</w:t>
      </w:r>
    </w:p>
    <w:p w:rsidR="001B391B" w:rsidRDefault="001B391B" w:rsidP="001B391B"/>
    <w:p w:rsidR="001B391B" w:rsidRPr="001B391B" w:rsidRDefault="001B391B" w:rsidP="001B391B">
      <w:pPr>
        <w:rPr>
          <w:b/>
        </w:rPr>
      </w:pPr>
      <w:r w:rsidRPr="001B391B">
        <w:rPr>
          <w:b/>
        </w:rPr>
        <w:t>Fees</w:t>
      </w:r>
    </w:p>
    <w:p w:rsidR="001B391B" w:rsidRDefault="001B391B" w:rsidP="001B391B">
      <w:r>
        <w:t>§ 8. The fees for the authorisation and registration procedures amount to 6 500 euros.</w:t>
      </w:r>
    </w:p>
    <w:p w:rsidR="001B391B" w:rsidRDefault="001B391B" w:rsidP="001B391B"/>
    <w:p w:rsidR="001B391B" w:rsidRPr="001B391B" w:rsidRDefault="001B391B" w:rsidP="001B391B">
      <w:pPr>
        <w:rPr>
          <w:b/>
        </w:rPr>
      </w:pPr>
      <w:r w:rsidRPr="001B391B">
        <w:rPr>
          <w:b/>
        </w:rPr>
        <w:t>Competent authority</w:t>
      </w:r>
    </w:p>
    <w:p w:rsidR="001B391B" w:rsidRDefault="001B391B" w:rsidP="001B391B">
      <w:r>
        <w:t>§ 9. The competent authority for the implementation of the authorisation proce</w:t>
      </w:r>
      <w:r w:rsidR="008E0571">
        <w:t xml:space="preserve">dure and the </w:t>
      </w:r>
      <w:r>
        <w:t>maintenance of the registry is the Federal Minister for Transp</w:t>
      </w:r>
      <w:r w:rsidR="008E0571">
        <w:t xml:space="preserve">ort, Innovation and Technology, </w:t>
      </w:r>
      <w:r>
        <w:t>notwithstanding the agreements to be reached according to § 17 of the Outer Space Act.</w:t>
      </w:r>
    </w:p>
    <w:p w:rsidR="001B391B" w:rsidRDefault="001B391B" w:rsidP="001B391B"/>
    <w:p w:rsidR="001B391B" w:rsidRPr="001B391B" w:rsidRDefault="001B391B" w:rsidP="001B391B">
      <w:pPr>
        <w:rPr>
          <w:b/>
        </w:rPr>
      </w:pPr>
      <w:r w:rsidRPr="001B391B">
        <w:rPr>
          <w:b/>
        </w:rPr>
        <w:t>References to persons</w:t>
      </w:r>
    </w:p>
    <w:p w:rsidR="001B391B" w:rsidRDefault="001B391B" w:rsidP="001B391B">
      <w:r>
        <w:t>§ 10. With respect to references to persons used in this Regulation,</w:t>
      </w:r>
      <w:r w:rsidR="008E0571">
        <w:t xml:space="preserve"> the form of reference selected </w:t>
      </w:r>
      <w:r>
        <w:t>shall apply to both genders.</w:t>
      </w:r>
    </w:p>
    <w:p w:rsidR="005617AE" w:rsidRDefault="005617AE" w:rsidP="001B391B"/>
    <w:p w:rsidR="007E5C03" w:rsidRPr="005617AE" w:rsidRDefault="007E5C03" w:rsidP="001B391B">
      <w:pPr>
        <w:rPr>
          <w:b/>
        </w:rPr>
      </w:pPr>
      <w:r w:rsidRPr="005617AE">
        <w:rPr>
          <w:b/>
        </w:rPr>
        <w:t>Entry into force</w:t>
      </w:r>
    </w:p>
    <w:p w:rsidR="007E5C03" w:rsidRDefault="007E5C03" w:rsidP="001B391B">
      <w:r>
        <w:t>§ 11. § 2, subparagraph 2</w:t>
      </w:r>
      <w:r w:rsidRPr="007E5C03">
        <w:t>, letter 4</w:t>
      </w:r>
      <w:r w:rsidR="005617AE">
        <w:t xml:space="preserve"> as amended by Regulation BGBl. II No. 90/2018 shall enter into force on </w:t>
      </w:r>
      <w:r w:rsidR="005617AE">
        <w:t>25 May 2018</w:t>
      </w:r>
      <w:r w:rsidR="005617AE">
        <w:t>.</w:t>
      </w:r>
    </w:p>
    <w:p w:rsidR="007E5C03" w:rsidRDefault="007E5C03" w:rsidP="001B391B"/>
    <w:p w:rsidR="000D0898" w:rsidRDefault="000D0898" w:rsidP="001B391B"/>
    <w:p w:rsidR="000D0898" w:rsidRDefault="000D0898" w:rsidP="001B391B"/>
    <w:sectPr w:rsidR="000D08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1B"/>
    <w:rsid w:val="000D0898"/>
    <w:rsid w:val="001B391B"/>
    <w:rsid w:val="00352204"/>
    <w:rsid w:val="004C68B4"/>
    <w:rsid w:val="005617AE"/>
    <w:rsid w:val="007E5C03"/>
    <w:rsid w:val="008E0571"/>
    <w:rsid w:val="00D058CB"/>
    <w:rsid w:val="00D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B796"/>
  <w15:chartTrackingRefBased/>
  <w15:docId w15:val="{7DC45966-0B7E-4044-BA00-9AE1F969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1716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BMVIT</Company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Schebek Victoria</dc:creator>
  <cp:keywords/>
  <dc:description/>
  <cp:lastModifiedBy>Schebek Victoria</cp:lastModifiedBy>
  <cp:revision>6</cp:revision>
  <dcterms:created xsi:type="dcterms:W3CDTF">2022-06-13T14:29:00Z</dcterms:created>
  <dcterms:modified xsi:type="dcterms:W3CDTF">2022-06-13T15:13:00Z</dcterms:modified>
</cp:coreProperties>
</file>