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09578" w14:textId="77777777" w:rsidR="002206A7" w:rsidRPr="00E864DA" w:rsidRDefault="002206A7" w:rsidP="002206A7">
      <w:pPr>
        <w:spacing w:line="240" w:lineRule="auto"/>
        <w:rPr>
          <w:sz w:val="2"/>
        </w:rPr>
        <w:sectPr w:rsidR="002206A7" w:rsidRPr="00E864DA" w:rsidSect="0039449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9" w:h="16834"/>
          <w:pgMar w:top="1440" w:right="1032" w:bottom="1757" w:left="1032" w:header="432" w:footer="504" w:gutter="0"/>
          <w:cols w:space="720"/>
          <w:titlePg/>
          <w:docGrid w:linePitch="360"/>
        </w:sectPr>
      </w:pPr>
      <w:commentRangeStart w:id="0"/>
      <w:commentRangeEnd w:id="0"/>
      <w:r w:rsidRPr="00E864DA">
        <w:rPr>
          <w:rStyle w:val="CommentReference"/>
        </w:rPr>
        <w:commentReference w:id="0"/>
      </w:r>
    </w:p>
    <w:tbl>
      <w:tblPr>
        <w:tblW w:w="9841" w:type="dxa"/>
        <w:tblLayout w:type="fixed"/>
        <w:tblLook w:val="0000" w:firstRow="0" w:lastRow="0" w:firstColumn="0" w:lastColumn="0" w:noHBand="0" w:noVBand="0"/>
      </w:tblPr>
      <w:tblGrid>
        <w:gridCol w:w="4893"/>
        <w:gridCol w:w="288"/>
        <w:gridCol w:w="4660"/>
      </w:tblGrid>
      <w:tr w:rsidR="00394496" w14:paraId="7D546061" w14:textId="77777777" w:rsidTr="00394496">
        <w:tc>
          <w:tcPr>
            <w:tcW w:w="4893" w:type="dxa"/>
            <w:shd w:val="clear" w:color="auto" w:fill="auto"/>
          </w:tcPr>
          <w:p w14:paraId="7E1E39E5" w14:textId="77777777" w:rsidR="0046241A" w:rsidRPr="0046241A" w:rsidRDefault="0046241A" w:rsidP="0046241A">
            <w:pPr>
              <w:keepNext/>
              <w:keepLines/>
              <w:tabs>
                <w:tab w:val="left" w:pos="475"/>
                <w:tab w:val="left" w:pos="965"/>
                <w:tab w:val="left" w:pos="1440"/>
                <w:tab w:val="left" w:pos="1915"/>
                <w:tab w:val="left" w:pos="2405"/>
                <w:tab w:val="left" w:pos="2880"/>
                <w:tab w:val="left" w:pos="3355"/>
              </w:tabs>
              <w:spacing w:line="270" w:lineRule="exact"/>
              <w:outlineLvl w:val="0"/>
              <w:rPr>
                <w:b/>
                <w:sz w:val="24"/>
                <w14:ligatures w14:val="standardContextual"/>
              </w:rPr>
            </w:pPr>
            <w:r w:rsidRPr="0046241A">
              <w:rPr>
                <w:b/>
                <w:sz w:val="24"/>
                <w14:ligatures w14:val="standardContextual"/>
              </w:rPr>
              <w:t xml:space="preserve">Committee on the Peaceful </w:t>
            </w:r>
            <w:r w:rsidRPr="0046241A">
              <w:rPr>
                <w:b/>
                <w:sz w:val="24"/>
                <w14:ligatures w14:val="standardContextual"/>
              </w:rPr>
              <w:br/>
              <w:t>Uses of Outer Space</w:t>
            </w:r>
          </w:p>
          <w:p w14:paraId="68A012C1" w14:textId="77777777" w:rsidR="0046241A" w:rsidRPr="0046241A" w:rsidRDefault="0046241A" w:rsidP="004624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4" w:right="1264" w:hanging="1264"/>
              <w:outlineLvl w:val="1"/>
              <w:rPr>
                <w:b/>
                <w:spacing w:val="2"/>
                <w14:ligatures w14:val="standardContextual"/>
              </w:rPr>
            </w:pPr>
            <w:r w:rsidRPr="0046241A">
              <w:rPr>
                <w:b/>
                <w:spacing w:val="2"/>
                <w14:ligatures w14:val="standardContextual"/>
              </w:rPr>
              <w:t>Sixty-eighth session</w:t>
            </w:r>
          </w:p>
          <w:p w14:paraId="063B998A" w14:textId="5FFC6D06" w:rsidR="00394496" w:rsidRDefault="0046241A" w:rsidP="0046241A">
            <w:pPr>
              <w:pStyle w:val="SingleTxt"/>
              <w:spacing w:after="0"/>
              <w:ind w:left="0"/>
            </w:pPr>
            <w:r w:rsidRPr="0046241A">
              <w:rPr>
                <w14:ligatures w14:val="standardContextual"/>
              </w:rPr>
              <w:t>Vienna, 25 June–2 July 2025</w:t>
            </w:r>
          </w:p>
        </w:tc>
        <w:tc>
          <w:tcPr>
            <w:tcW w:w="288" w:type="dxa"/>
            <w:shd w:val="clear" w:color="auto" w:fill="auto"/>
          </w:tcPr>
          <w:p w14:paraId="377DE992" w14:textId="77777777" w:rsidR="00394496" w:rsidRDefault="00394496" w:rsidP="00394496">
            <w:pPr>
              <w:pStyle w:val="SingleTxt"/>
              <w:spacing w:after="0"/>
              <w:ind w:left="0"/>
            </w:pPr>
          </w:p>
        </w:tc>
        <w:tc>
          <w:tcPr>
            <w:tcW w:w="4660" w:type="dxa"/>
            <w:shd w:val="clear" w:color="auto" w:fill="auto"/>
          </w:tcPr>
          <w:p w14:paraId="747666D8" w14:textId="77777777" w:rsidR="00394496" w:rsidRDefault="00394496" w:rsidP="00394496">
            <w:pPr>
              <w:pStyle w:val="SingleTxt"/>
              <w:spacing w:after="0"/>
              <w:ind w:left="0"/>
            </w:pPr>
          </w:p>
        </w:tc>
      </w:tr>
      <w:tr w:rsidR="00394496" w14:paraId="2802FCB3" w14:textId="77777777" w:rsidTr="00394496">
        <w:tc>
          <w:tcPr>
            <w:tcW w:w="4893" w:type="dxa"/>
            <w:shd w:val="clear" w:color="auto" w:fill="auto"/>
          </w:tcPr>
          <w:p w14:paraId="29026971" w14:textId="77777777" w:rsidR="00394496" w:rsidRDefault="00394496" w:rsidP="00394496">
            <w:pPr>
              <w:pStyle w:val="SingleTxt"/>
              <w:spacing w:after="0"/>
              <w:ind w:left="0"/>
            </w:pPr>
          </w:p>
        </w:tc>
        <w:tc>
          <w:tcPr>
            <w:tcW w:w="288" w:type="dxa"/>
            <w:shd w:val="clear" w:color="auto" w:fill="auto"/>
          </w:tcPr>
          <w:p w14:paraId="5C93E5CC" w14:textId="77777777" w:rsidR="00394496" w:rsidRDefault="00394496" w:rsidP="00394496">
            <w:pPr>
              <w:pStyle w:val="SingleTxt"/>
              <w:spacing w:after="0"/>
              <w:ind w:left="0"/>
            </w:pPr>
          </w:p>
        </w:tc>
        <w:tc>
          <w:tcPr>
            <w:tcW w:w="4660" w:type="dxa"/>
            <w:shd w:val="clear" w:color="auto" w:fill="auto"/>
          </w:tcPr>
          <w:p w14:paraId="30E3A378" w14:textId="77777777" w:rsidR="00394496" w:rsidRDefault="00394496" w:rsidP="00394496">
            <w:pPr>
              <w:pStyle w:val="SingleTxt"/>
              <w:spacing w:after="0"/>
              <w:ind w:left="0"/>
            </w:pPr>
          </w:p>
        </w:tc>
      </w:tr>
    </w:tbl>
    <w:p w14:paraId="3C841AB4" w14:textId="77777777" w:rsidR="00244EBF" w:rsidRPr="00105D3E" w:rsidRDefault="00244EBF" w:rsidP="00105D3E">
      <w:pPr>
        <w:pStyle w:val="SingleTxt"/>
        <w:spacing w:after="0" w:line="120" w:lineRule="atLeast"/>
        <w:rPr>
          <w:sz w:val="10"/>
        </w:rPr>
      </w:pPr>
    </w:p>
    <w:p w14:paraId="33014D40" w14:textId="77777777" w:rsidR="00244EBF" w:rsidRPr="00244EBF" w:rsidRDefault="00244EBF" w:rsidP="00105D3E">
      <w:pPr>
        <w:pStyle w:val="HCh"/>
        <w:keepNext/>
        <w:keepLines/>
        <w:tabs>
          <w:tab w:val="clear" w:pos="1022"/>
          <w:tab w:val="clear" w:pos="1267"/>
          <w:tab w:val="clear" w:pos="1742"/>
          <w:tab w:val="clear" w:pos="2218"/>
          <w:tab w:val="clear" w:pos="3182"/>
          <w:tab w:val="clear" w:pos="3658"/>
          <w:tab w:val="clear" w:pos="4622"/>
          <w:tab w:val="clear" w:pos="5098"/>
          <w:tab w:val="clear" w:pos="6048"/>
          <w:tab w:val="right" w:pos="1020"/>
          <w:tab w:val="left" w:pos="1264"/>
          <w:tab w:val="left" w:pos="1740"/>
          <w:tab w:val="left" w:pos="2217"/>
          <w:tab w:val="left" w:pos="3180"/>
          <w:tab w:val="left" w:pos="3657"/>
          <w:tab w:val="left" w:pos="4620"/>
          <w:tab w:val="left" w:pos="5097"/>
          <w:tab w:val="left" w:pos="6049"/>
        </w:tabs>
        <w:ind w:left="1264" w:right="1264" w:hanging="1264"/>
      </w:pPr>
      <w:r w:rsidRPr="00244EBF">
        <w:tab/>
      </w:r>
      <w:r w:rsidRPr="00244EBF">
        <w:tab/>
        <w:t xml:space="preserve">Draft report </w:t>
      </w:r>
    </w:p>
    <w:p w14:paraId="53FD4C44" w14:textId="77777777" w:rsidR="00244EBF" w:rsidRPr="00105D3E" w:rsidRDefault="00244EBF" w:rsidP="00105D3E">
      <w:pPr>
        <w:pStyle w:val="SingleTxt"/>
        <w:spacing w:after="0" w:line="120" w:lineRule="atLeast"/>
        <w:rPr>
          <w:b/>
          <w:sz w:val="10"/>
        </w:rPr>
      </w:pPr>
    </w:p>
    <w:p w14:paraId="6BB75A61" w14:textId="77777777" w:rsidR="00105D3E" w:rsidRPr="00105D3E" w:rsidRDefault="00105D3E" w:rsidP="00105D3E">
      <w:pPr>
        <w:pStyle w:val="SingleTxt"/>
        <w:spacing w:after="0" w:line="120" w:lineRule="atLeast"/>
        <w:rPr>
          <w:b/>
          <w:sz w:val="10"/>
        </w:rPr>
      </w:pPr>
    </w:p>
    <w:p w14:paraId="07D03374" w14:textId="77777777" w:rsidR="00244EBF" w:rsidRPr="00244EBF" w:rsidRDefault="00244EBF" w:rsidP="00105D3E">
      <w:pPr>
        <w:pStyle w:val="HCh"/>
        <w:keepNext/>
        <w:keepLines/>
        <w:tabs>
          <w:tab w:val="clear" w:pos="1022"/>
          <w:tab w:val="clear" w:pos="1267"/>
          <w:tab w:val="clear" w:pos="1742"/>
          <w:tab w:val="clear" w:pos="2218"/>
          <w:tab w:val="clear" w:pos="3182"/>
          <w:tab w:val="clear" w:pos="3658"/>
          <w:tab w:val="clear" w:pos="4622"/>
          <w:tab w:val="clear" w:pos="5098"/>
          <w:tab w:val="clear" w:pos="6048"/>
          <w:tab w:val="right" w:pos="1020"/>
          <w:tab w:val="left" w:pos="1264"/>
          <w:tab w:val="left" w:pos="1740"/>
          <w:tab w:val="left" w:pos="2217"/>
          <w:tab w:val="left" w:pos="3180"/>
          <w:tab w:val="left" w:pos="3657"/>
          <w:tab w:val="left" w:pos="4620"/>
          <w:tab w:val="left" w:pos="5097"/>
          <w:tab w:val="left" w:pos="6049"/>
        </w:tabs>
        <w:ind w:left="1264" w:right="1264" w:hanging="1264"/>
      </w:pPr>
      <w:r w:rsidRPr="00244EBF">
        <w:tab/>
      </w:r>
      <w:r w:rsidRPr="00244EBF">
        <w:tab/>
        <w:t xml:space="preserve">Chapter I </w:t>
      </w:r>
    </w:p>
    <w:p w14:paraId="59529559" w14:textId="77777777" w:rsidR="00244EBF" w:rsidRPr="00105D3E" w:rsidRDefault="00244EBF" w:rsidP="00105D3E">
      <w:pPr>
        <w:pStyle w:val="SingleTxt"/>
        <w:spacing w:after="0" w:line="120" w:lineRule="atLeast"/>
        <w:rPr>
          <w:b/>
          <w:sz w:val="10"/>
        </w:rPr>
      </w:pPr>
    </w:p>
    <w:p w14:paraId="534A3307" w14:textId="77777777" w:rsidR="00105D3E" w:rsidRPr="00105D3E" w:rsidRDefault="00105D3E" w:rsidP="00105D3E">
      <w:pPr>
        <w:pStyle w:val="SingleTxt"/>
        <w:spacing w:after="0" w:line="120" w:lineRule="atLeast"/>
        <w:rPr>
          <w:b/>
          <w:sz w:val="10"/>
        </w:rPr>
      </w:pPr>
    </w:p>
    <w:p w14:paraId="1C860B89" w14:textId="77777777" w:rsidR="00244EBF" w:rsidRPr="00244EBF" w:rsidRDefault="00244EBF" w:rsidP="00105D3E">
      <w:pPr>
        <w:pStyle w:val="H1"/>
        <w:tabs>
          <w:tab w:val="clear" w:pos="1022"/>
          <w:tab w:val="clear" w:pos="1267"/>
          <w:tab w:val="clear" w:pos="1742"/>
          <w:tab w:val="clear" w:pos="2218"/>
          <w:tab w:val="clear" w:pos="3182"/>
          <w:tab w:val="clear" w:pos="3658"/>
          <w:tab w:val="clear" w:pos="4622"/>
          <w:tab w:val="clear" w:pos="5098"/>
          <w:tab w:val="clear" w:pos="6048"/>
          <w:tab w:val="right" w:pos="1020"/>
          <w:tab w:val="left" w:pos="1264"/>
          <w:tab w:val="left" w:pos="1740"/>
          <w:tab w:val="left" w:pos="2217"/>
          <w:tab w:val="left" w:pos="3180"/>
          <w:tab w:val="left" w:pos="3657"/>
          <w:tab w:val="left" w:pos="4620"/>
          <w:tab w:val="left" w:pos="5097"/>
          <w:tab w:val="left" w:pos="6049"/>
        </w:tabs>
        <w:ind w:left="1259"/>
      </w:pPr>
      <w:r w:rsidRPr="00244EBF">
        <w:tab/>
      </w:r>
      <w:r w:rsidRPr="00244EBF">
        <w:tab/>
        <w:t>Introduction</w:t>
      </w:r>
    </w:p>
    <w:p w14:paraId="5D755704" w14:textId="77777777" w:rsidR="00244EBF" w:rsidRPr="00105D3E" w:rsidRDefault="00244EBF" w:rsidP="00105D3E">
      <w:pPr>
        <w:pStyle w:val="SingleTxt"/>
        <w:spacing w:after="0" w:line="120" w:lineRule="atLeast"/>
        <w:rPr>
          <w:b/>
          <w:sz w:val="10"/>
        </w:rPr>
      </w:pPr>
    </w:p>
    <w:p w14:paraId="2067A628" w14:textId="77777777" w:rsidR="00105D3E" w:rsidRPr="00105D3E" w:rsidRDefault="00105D3E" w:rsidP="00105D3E">
      <w:pPr>
        <w:pStyle w:val="SingleTxt"/>
        <w:spacing w:after="0" w:line="120" w:lineRule="atLeast"/>
        <w:rPr>
          <w:b/>
          <w:sz w:val="10"/>
        </w:rPr>
      </w:pPr>
    </w:p>
    <w:p w14:paraId="5C7FA15A" w14:textId="77777777" w:rsidR="00244EBF" w:rsidRPr="00244EBF" w:rsidRDefault="00244EBF" w:rsidP="00E4180F">
      <w:pPr>
        <w:pStyle w:val="SingleTxt"/>
        <w:numPr>
          <w:ilvl w:val="0"/>
          <w:numId w:val="37"/>
        </w:numPr>
        <w:ind w:left="1267" w:right="1267"/>
      </w:pPr>
      <w:r w:rsidRPr="00244EBF">
        <w:t>The Committee on the Peaceful Uses of Outer Space held its sixty-eighth session in Vienna from 25 June to 2 July 2025. The officers of the Committee were as follows:</w:t>
      </w:r>
    </w:p>
    <w:p w14:paraId="275DE4C5" w14:textId="77777777" w:rsidR="00244EBF" w:rsidRPr="00244EBF" w:rsidRDefault="00244EBF" w:rsidP="00244EBF">
      <w:pPr>
        <w:pStyle w:val="SingleTxt"/>
      </w:pPr>
      <w:r w:rsidRPr="00244EBF">
        <w:tab/>
      </w:r>
      <w:r w:rsidRPr="00244EBF">
        <w:tab/>
      </w:r>
      <w:r w:rsidRPr="00244EBF">
        <w:rPr>
          <w:i/>
          <w:iCs/>
        </w:rPr>
        <w:t>Chair</w:t>
      </w:r>
      <w:r w:rsidRPr="00244EBF">
        <w:tab/>
      </w:r>
      <w:r w:rsidRPr="00244EBF">
        <w:tab/>
      </w:r>
      <w:r w:rsidRPr="00244EBF">
        <w:tab/>
      </w:r>
      <w:r w:rsidRPr="00244EBF">
        <w:tab/>
      </w:r>
      <w:r w:rsidRPr="00244EBF">
        <w:tab/>
        <w:t>Rafiq Akram (Morocco)</w:t>
      </w:r>
    </w:p>
    <w:p w14:paraId="581E22B2" w14:textId="77777777" w:rsidR="00244EBF" w:rsidRPr="00244EBF" w:rsidRDefault="00244EBF" w:rsidP="00244EBF">
      <w:pPr>
        <w:pStyle w:val="SingleTxt"/>
      </w:pPr>
      <w:r w:rsidRPr="00244EBF">
        <w:tab/>
      </w:r>
      <w:r w:rsidRPr="00244EBF">
        <w:tab/>
      </w:r>
      <w:r w:rsidRPr="00244EBF">
        <w:rPr>
          <w:i/>
          <w:iCs/>
        </w:rPr>
        <w:t>First Vice-Chair</w:t>
      </w:r>
      <w:r w:rsidRPr="00244EBF">
        <w:tab/>
      </w:r>
      <w:r w:rsidRPr="00244EBF">
        <w:tab/>
      </w:r>
      <w:r w:rsidRPr="00244EBF">
        <w:tab/>
      </w:r>
      <w:r w:rsidRPr="00244EBF">
        <w:tab/>
        <w:t>Juan Francisco Facetti Fernandez (Paraguay)</w:t>
      </w:r>
    </w:p>
    <w:p w14:paraId="1725EB4C" w14:textId="77777777" w:rsidR="00244EBF" w:rsidRPr="00244EBF" w:rsidRDefault="00244EBF" w:rsidP="00244EBF">
      <w:pPr>
        <w:pStyle w:val="SingleTxt"/>
        <w:rPr>
          <w:lang w:val="fr-FR"/>
        </w:rPr>
      </w:pPr>
      <w:r w:rsidRPr="00244EBF">
        <w:rPr>
          <w:lang w:val="fr-FR"/>
        </w:rPr>
        <w:tab/>
      </w:r>
      <w:r w:rsidRPr="00244EBF">
        <w:rPr>
          <w:lang w:val="fr-FR"/>
        </w:rPr>
        <w:tab/>
      </w:r>
      <w:r w:rsidRPr="00244EBF">
        <w:rPr>
          <w:i/>
          <w:iCs/>
          <w:lang w:val="fr-FR"/>
        </w:rPr>
        <w:t>Second Vice-Chair/Rapporteur</w:t>
      </w:r>
      <w:r w:rsidRPr="00244EBF">
        <w:rPr>
          <w:lang w:val="fr-FR"/>
        </w:rPr>
        <w:tab/>
        <w:t>Hesa Al-Khalifa (Bahrain)</w:t>
      </w:r>
    </w:p>
    <w:p w14:paraId="24C073EA" w14:textId="77777777" w:rsidR="00244EBF" w:rsidRPr="00E4180F" w:rsidRDefault="00244EBF" w:rsidP="00E4180F">
      <w:pPr>
        <w:pStyle w:val="SingleTxt"/>
        <w:spacing w:after="0" w:line="120" w:lineRule="atLeast"/>
        <w:rPr>
          <w:b/>
          <w:sz w:val="10"/>
          <w:lang w:val="fr-FR"/>
        </w:rPr>
      </w:pPr>
    </w:p>
    <w:p w14:paraId="45C57E32" w14:textId="77777777" w:rsidR="00E4180F" w:rsidRPr="00E4180F" w:rsidRDefault="00E4180F" w:rsidP="00E4180F">
      <w:pPr>
        <w:pStyle w:val="SingleTxt"/>
        <w:spacing w:after="0" w:line="120" w:lineRule="atLeast"/>
        <w:rPr>
          <w:b/>
          <w:sz w:val="10"/>
          <w:lang w:val="fr-FR"/>
        </w:rPr>
      </w:pPr>
    </w:p>
    <w:p w14:paraId="528F8351" w14:textId="77777777" w:rsidR="00244EBF" w:rsidRPr="00244EBF" w:rsidRDefault="00244EBF" w:rsidP="00E4180F">
      <w:pPr>
        <w:pStyle w:val="H1"/>
        <w:tabs>
          <w:tab w:val="clear" w:pos="1022"/>
          <w:tab w:val="clear" w:pos="1267"/>
          <w:tab w:val="clear" w:pos="1742"/>
          <w:tab w:val="clear" w:pos="2218"/>
          <w:tab w:val="clear" w:pos="3182"/>
          <w:tab w:val="clear" w:pos="3658"/>
          <w:tab w:val="clear" w:pos="4622"/>
          <w:tab w:val="clear" w:pos="5098"/>
          <w:tab w:val="clear" w:pos="6048"/>
          <w:tab w:val="right" w:pos="1020"/>
          <w:tab w:val="left" w:pos="1264"/>
          <w:tab w:val="left" w:pos="1740"/>
          <w:tab w:val="left" w:pos="2217"/>
          <w:tab w:val="left" w:pos="3180"/>
          <w:tab w:val="left" w:pos="3657"/>
          <w:tab w:val="left" w:pos="4620"/>
          <w:tab w:val="left" w:pos="5097"/>
          <w:tab w:val="left" w:pos="6049"/>
        </w:tabs>
        <w:ind w:left="1259"/>
      </w:pPr>
      <w:r w:rsidRPr="00244EBF">
        <w:rPr>
          <w:lang w:val="fr-FR"/>
        </w:rPr>
        <w:tab/>
      </w:r>
      <w:r w:rsidRPr="00244EBF">
        <w:t>A.</w:t>
      </w:r>
      <w:r w:rsidRPr="00244EBF">
        <w:tab/>
        <w:t>Meetings of subsidiary bodies</w:t>
      </w:r>
    </w:p>
    <w:p w14:paraId="66ADA426" w14:textId="77777777" w:rsidR="00244EBF" w:rsidRPr="00E4180F" w:rsidRDefault="00244EBF" w:rsidP="00E4180F">
      <w:pPr>
        <w:pStyle w:val="SingleTxt"/>
        <w:spacing w:after="0" w:line="120" w:lineRule="atLeast"/>
        <w:rPr>
          <w:b/>
          <w:sz w:val="10"/>
        </w:rPr>
      </w:pPr>
    </w:p>
    <w:p w14:paraId="70176AE5" w14:textId="77777777" w:rsidR="00E4180F" w:rsidRPr="00E4180F" w:rsidRDefault="00E4180F" w:rsidP="00E4180F">
      <w:pPr>
        <w:pStyle w:val="SingleTxt"/>
        <w:spacing w:after="0" w:line="120" w:lineRule="atLeast"/>
        <w:rPr>
          <w:b/>
          <w:sz w:val="10"/>
        </w:rPr>
      </w:pPr>
    </w:p>
    <w:p w14:paraId="5F9FDB15" w14:textId="475F2A4C" w:rsidR="00244EBF" w:rsidRPr="00244EBF" w:rsidRDefault="00244EBF" w:rsidP="00E4180F">
      <w:pPr>
        <w:pStyle w:val="SingleTxt"/>
        <w:numPr>
          <w:ilvl w:val="0"/>
          <w:numId w:val="37"/>
        </w:numPr>
        <w:ind w:left="1267" w:right="1267"/>
      </w:pPr>
      <w:r w:rsidRPr="00244EBF">
        <w:t xml:space="preserve">The Scientific and Technical Subcommittee of the Committee on the Peaceful Uses of Outer Space held its sixty-second session in Vienna from 3 to 14 February 2025, with Ulpia-Elena </w:t>
      </w:r>
      <w:r w:rsidRPr="00244EBF">
        <w:rPr>
          <w:bCs/>
        </w:rPr>
        <w:t>Botezatu</w:t>
      </w:r>
      <w:r w:rsidRPr="00244EBF">
        <w:t xml:space="preserve"> (Romania) as Chair. The report of the Subcommittee was before the Committee (</w:t>
      </w:r>
      <w:hyperlink r:id="rId20" w:history="1">
        <w:r w:rsidRPr="00244EBF">
          <w:rPr>
            <w:rStyle w:val="Hyperlink"/>
          </w:rPr>
          <w:t>A/AC.105/1338</w:t>
        </w:r>
      </w:hyperlink>
      <w:r w:rsidRPr="00244EBF">
        <w:t>).</w:t>
      </w:r>
    </w:p>
    <w:p w14:paraId="12A4ABEB" w14:textId="44FB02D1" w:rsidR="00244EBF" w:rsidRPr="00244EBF" w:rsidRDefault="00244EBF" w:rsidP="00E4180F">
      <w:pPr>
        <w:pStyle w:val="SingleTxt"/>
        <w:numPr>
          <w:ilvl w:val="0"/>
          <w:numId w:val="37"/>
        </w:numPr>
        <w:ind w:left="1267" w:right="1267"/>
      </w:pPr>
      <w:r w:rsidRPr="00244EBF">
        <w:t xml:space="preserve">The Legal Subcommittee of the Committee on the Peaceful Uses of Outer Space held its sixty-fourth session in Vienna from 5 to 16 May 2025, with Santiago Ripol Carulla (Spain) as Chair. The </w:t>
      </w:r>
      <w:r w:rsidRPr="00244EBF">
        <w:rPr>
          <w:bCs/>
        </w:rPr>
        <w:t>report</w:t>
      </w:r>
      <w:r w:rsidRPr="00244EBF">
        <w:t xml:space="preserve"> of the Subcommittee was before the Committee (</w:t>
      </w:r>
      <w:hyperlink r:id="rId21" w:history="1">
        <w:r w:rsidRPr="00244EBF">
          <w:rPr>
            <w:rStyle w:val="Hyperlink"/>
          </w:rPr>
          <w:t>A/AC.105/1362</w:t>
        </w:r>
      </w:hyperlink>
      <w:r w:rsidRPr="00244EBF">
        <w:t>).</w:t>
      </w:r>
    </w:p>
    <w:p w14:paraId="52641071" w14:textId="77777777" w:rsidR="00244EBF" w:rsidRPr="00EC30AF" w:rsidRDefault="00244EBF" w:rsidP="00EC30AF">
      <w:pPr>
        <w:pStyle w:val="SingleTxt"/>
        <w:spacing w:after="0" w:line="120" w:lineRule="atLeast"/>
        <w:rPr>
          <w:b/>
          <w:sz w:val="10"/>
        </w:rPr>
      </w:pPr>
    </w:p>
    <w:p w14:paraId="5E23C262" w14:textId="77777777" w:rsidR="00EC30AF" w:rsidRPr="00EC30AF" w:rsidRDefault="00EC30AF" w:rsidP="00EC30AF">
      <w:pPr>
        <w:pStyle w:val="SingleTxt"/>
        <w:spacing w:after="0" w:line="120" w:lineRule="atLeast"/>
        <w:rPr>
          <w:b/>
          <w:sz w:val="10"/>
        </w:rPr>
      </w:pPr>
    </w:p>
    <w:p w14:paraId="5FC0E3A1" w14:textId="77777777" w:rsidR="00244EBF" w:rsidRPr="00244EBF" w:rsidRDefault="00244EBF" w:rsidP="00EC30AF">
      <w:pPr>
        <w:pStyle w:val="H1"/>
        <w:tabs>
          <w:tab w:val="clear" w:pos="1022"/>
          <w:tab w:val="clear" w:pos="1267"/>
          <w:tab w:val="clear" w:pos="1742"/>
          <w:tab w:val="clear" w:pos="2218"/>
          <w:tab w:val="clear" w:pos="3182"/>
          <w:tab w:val="clear" w:pos="3658"/>
          <w:tab w:val="clear" w:pos="4622"/>
          <w:tab w:val="clear" w:pos="5098"/>
          <w:tab w:val="clear" w:pos="6048"/>
          <w:tab w:val="right" w:pos="1020"/>
          <w:tab w:val="left" w:pos="1264"/>
          <w:tab w:val="left" w:pos="1740"/>
          <w:tab w:val="left" w:pos="2217"/>
          <w:tab w:val="left" w:pos="3180"/>
          <w:tab w:val="left" w:pos="3657"/>
          <w:tab w:val="left" w:pos="4620"/>
          <w:tab w:val="left" w:pos="5097"/>
          <w:tab w:val="left" w:pos="6049"/>
        </w:tabs>
        <w:ind w:left="1259"/>
      </w:pPr>
      <w:r w:rsidRPr="00244EBF">
        <w:tab/>
        <w:t>B.</w:t>
      </w:r>
      <w:r w:rsidRPr="00244EBF">
        <w:tab/>
        <w:t xml:space="preserve">Adoption of the agenda </w:t>
      </w:r>
    </w:p>
    <w:p w14:paraId="05E986B0" w14:textId="77777777" w:rsidR="00244EBF" w:rsidRPr="00EC30AF" w:rsidRDefault="00244EBF" w:rsidP="00EC30AF">
      <w:pPr>
        <w:pStyle w:val="SingleTxt"/>
        <w:spacing w:after="0" w:line="120" w:lineRule="atLeast"/>
        <w:rPr>
          <w:b/>
          <w:sz w:val="10"/>
        </w:rPr>
      </w:pPr>
    </w:p>
    <w:p w14:paraId="33A6620A" w14:textId="77777777" w:rsidR="00EC30AF" w:rsidRPr="00EC30AF" w:rsidRDefault="00EC30AF" w:rsidP="00EC30AF">
      <w:pPr>
        <w:pStyle w:val="SingleTxt"/>
        <w:spacing w:after="0" w:line="120" w:lineRule="atLeast"/>
        <w:rPr>
          <w:b/>
          <w:sz w:val="10"/>
        </w:rPr>
      </w:pPr>
    </w:p>
    <w:p w14:paraId="48D96EAA" w14:textId="77777777" w:rsidR="00244EBF" w:rsidRPr="00244EBF" w:rsidRDefault="00244EBF" w:rsidP="00E4180F">
      <w:pPr>
        <w:pStyle w:val="SingleTxt"/>
        <w:numPr>
          <w:ilvl w:val="0"/>
          <w:numId w:val="37"/>
        </w:numPr>
        <w:ind w:left="1267" w:right="1267"/>
        <w:rPr>
          <w:bCs/>
        </w:rPr>
      </w:pPr>
      <w:r w:rsidRPr="00244EBF">
        <w:rPr>
          <w:bCs/>
        </w:rPr>
        <w:t xml:space="preserve">At </w:t>
      </w:r>
      <w:r w:rsidRPr="00244EBF">
        <w:t>its</w:t>
      </w:r>
      <w:r w:rsidRPr="00244EBF">
        <w:rPr>
          <w:bCs/>
        </w:rPr>
        <w:t xml:space="preserve"> 834th meeting, on 25 June 2025, the Committee adopted the following agenda:</w:t>
      </w:r>
    </w:p>
    <w:p w14:paraId="58775C2E" w14:textId="77777777" w:rsidR="00244EBF" w:rsidRPr="00244EBF" w:rsidRDefault="00244EBF" w:rsidP="00244EBF">
      <w:pPr>
        <w:pStyle w:val="SingleTxt"/>
      </w:pPr>
      <w:r w:rsidRPr="00244EBF">
        <w:tab/>
      </w:r>
      <w:r w:rsidRPr="00244EBF">
        <w:tab/>
        <w:t>1.</w:t>
      </w:r>
      <w:r w:rsidRPr="00244EBF">
        <w:tab/>
        <w:t>Opening of the session.</w:t>
      </w:r>
    </w:p>
    <w:p w14:paraId="7618242E" w14:textId="77777777" w:rsidR="00244EBF" w:rsidRPr="00244EBF" w:rsidRDefault="00244EBF" w:rsidP="00244EBF">
      <w:pPr>
        <w:pStyle w:val="SingleTxt"/>
      </w:pPr>
      <w:r w:rsidRPr="00244EBF">
        <w:tab/>
      </w:r>
      <w:r w:rsidRPr="00244EBF">
        <w:tab/>
        <w:t>2.</w:t>
      </w:r>
      <w:r w:rsidRPr="00244EBF">
        <w:tab/>
        <w:t xml:space="preserve">Adoption of the agenda. </w:t>
      </w:r>
    </w:p>
    <w:p w14:paraId="1730DFE4" w14:textId="77777777" w:rsidR="00244EBF" w:rsidRPr="00244EBF" w:rsidRDefault="00244EBF" w:rsidP="00244EBF">
      <w:pPr>
        <w:pStyle w:val="SingleTxt"/>
      </w:pPr>
      <w:r w:rsidRPr="00244EBF">
        <w:tab/>
      </w:r>
      <w:r w:rsidRPr="00244EBF">
        <w:tab/>
        <w:t>3.</w:t>
      </w:r>
      <w:r w:rsidRPr="00244EBF">
        <w:tab/>
        <w:t>Statement by the Chair.</w:t>
      </w:r>
    </w:p>
    <w:p w14:paraId="4909E5F3" w14:textId="77777777" w:rsidR="00244EBF" w:rsidRPr="00244EBF" w:rsidRDefault="00244EBF" w:rsidP="00244EBF">
      <w:pPr>
        <w:pStyle w:val="SingleTxt"/>
      </w:pPr>
      <w:r w:rsidRPr="00244EBF">
        <w:tab/>
      </w:r>
      <w:r w:rsidRPr="00244EBF">
        <w:tab/>
        <w:t>4.</w:t>
      </w:r>
      <w:r w:rsidRPr="00244EBF">
        <w:tab/>
        <w:t>General exchange of views.</w:t>
      </w:r>
    </w:p>
    <w:p w14:paraId="1BC776FE" w14:textId="77777777" w:rsidR="00244EBF" w:rsidRPr="00244EBF" w:rsidRDefault="00244EBF" w:rsidP="00244EBF">
      <w:pPr>
        <w:pStyle w:val="SingleTxt"/>
      </w:pPr>
      <w:r w:rsidRPr="00244EBF">
        <w:tab/>
      </w:r>
      <w:r w:rsidRPr="00244EBF">
        <w:tab/>
        <w:t>5.</w:t>
      </w:r>
      <w:r w:rsidRPr="00244EBF">
        <w:tab/>
        <w:t>Ways and means of maintaining outer space for peaceful purposes.</w:t>
      </w:r>
    </w:p>
    <w:p w14:paraId="4E2CAE56" w14:textId="1345A98C" w:rsidR="00244EBF" w:rsidRPr="00244EBF" w:rsidRDefault="00244EBF" w:rsidP="00A32790">
      <w:pPr>
        <w:pStyle w:val="SingleTxt"/>
        <w:tabs>
          <w:tab w:val="clear" w:pos="1267"/>
        </w:tabs>
        <w:ind w:left="2226" w:hanging="962"/>
      </w:pPr>
      <w:r w:rsidRPr="00244EBF">
        <w:lastRenderedPageBreak/>
        <w:tab/>
        <w:t>6.</w:t>
      </w:r>
      <w:r w:rsidRPr="00244EBF">
        <w:tab/>
        <w:t>Report of the Scientific and Technical Subcommittee on its sixty-second session.</w:t>
      </w:r>
    </w:p>
    <w:p w14:paraId="2328FEB2" w14:textId="77777777" w:rsidR="00244EBF" w:rsidRPr="00244EBF" w:rsidRDefault="00244EBF" w:rsidP="00244EBF">
      <w:pPr>
        <w:pStyle w:val="SingleTxt"/>
      </w:pPr>
      <w:r w:rsidRPr="00244EBF">
        <w:tab/>
      </w:r>
      <w:r w:rsidRPr="00244EBF">
        <w:tab/>
        <w:t>7.</w:t>
      </w:r>
      <w:r w:rsidRPr="00244EBF">
        <w:tab/>
        <w:t>Report of the Legal Subcommittee on its sixty-fourth session.</w:t>
      </w:r>
    </w:p>
    <w:p w14:paraId="76BFCA41" w14:textId="77777777" w:rsidR="00244EBF" w:rsidRPr="00244EBF" w:rsidRDefault="00244EBF" w:rsidP="00244EBF">
      <w:pPr>
        <w:pStyle w:val="SingleTxt"/>
      </w:pPr>
      <w:r w:rsidRPr="00244EBF">
        <w:tab/>
      </w:r>
      <w:r w:rsidRPr="00244EBF">
        <w:tab/>
        <w:t>8.</w:t>
      </w:r>
      <w:r w:rsidRPr="00244EBF">
        <w:tab/>
        <w:t>Space and sustainable development.</w:t>
      </w:r>
    </w:p>
    <w:p w14:paraId="36BF066A" w14:textId="77777777" w:rsidR="00244EBF" w:rsidRPr="00244EBF" w:rsidRDefault="00244EBF" w:rsidP="00244EBF">
      <w:pPr>
        <w:pStyle w:val="SingleTxt"/>
      </w:pPr>
      <w:r w:rsidRPr="00244EBF">
        <w:tab/>
      </w:r>
      <w:r w:rsidRPr="00244EBF">
        <w:tab/>
        <w:t>9.</w:t>
      </w:r>
      <w:r w:rsidRPr="00244EBF">
        <w:tab/>
        <w:t>Spin-off benefits of space technology: review of current status.</w:t>
      </w:r>
    </w:p>
    <w:p w14:paraId="5965F270" w14:textId="77777777" w:rsidR="00244EBF" w:rsidRPr="00244EBF" w:rsidRDefault="00244EBF" w:rsidP="00244EBF">
      <w:pPr>
        <w:pStyle w:val="SingleTxt"/>
      </w:pPr>
      <w:r w:rsidRPr="00244EBF">
        <w:tab/>
      </w:r>
      <w:r w:rsidRPr="00244EBF">
        <w:tab/>
        <w:t>10.</w:t>
      </w:r>
      <w:r w:rsidRPr="00244EBF">
        <w:tab/>
        <w:t>Space and water.</w:t>
      </w:r>
    </w:p>
    <w:p w14:paraId="37129C0A" w14:textId="77777777" w:rsidR="00244EBF" w:rsidRPr="00244EBF" w:rsidRDefault="00244EBF" w:rsidP="00244EBF">
      <w:pPr>
        <w:pStyle w:val="SingleTxt"/>
      </w:pPr>
      <w:r w:rsidRPr="00244EBF">
        <w:tab/>
      </w:r>
      <w:r w:rsidRPr="00244EBF">
        <w:tab/>
        <w:t>11.</w:t>
      </w:r>
      <w:r w:rsidRPr="00244EBF">
        <w:tab/>
        <w:t>Space and climate change.</w:t>
      </w:r>
    </w:p>
    <w:p w14:paraId="5FF8EDF1" w14:textId="77777777" w:rsidR="00244EBF" w:rsidRPr="00244EBF" w:rsidRDefault="00244EBF" w:rsidP="00244EBF">
      <w:pPr>
        <w:pStyle w:val="SingleTxt"/>
      </w:pPr>
      <w:r w:rsidRPr="00244EBF">
        <w:tab/>
      </w:r>
      <w:r w:rsidRPr="00244EBF">
        <w:tab/>
        <w:t>12.</w:t>
      </w:r>
      <w:r w:rsidRPr="00244EBF">
        <w:tab/>
        <w:t>Use of space technology in the United Nations system.</w:t>
      </w:r>
    </w:p>
    <w:p w14:paraId="6BCD2D3C" w14:textId="77777777" w:rsidR="00244EBF" w:rsidRPr="00244EBF" w:rsidRDefault="00244EBF" w:rsidP="00244EBF">
      <w:pPr>
        <w:pStyle w:val="SingleTxt"/>
      </w:pPr>
      <w:r w:rsidRPr="00244EBF">
        <w:tab/>
      </w:r>
      <w:r w:rsidRPr="00244EBF">
        <w:tab/>
        <w:t>13.</w:t>
      </w:r>
      <w:r w:rsidRPr="00244EBF">
        <w:tab/>
        <w:t>Future role and method of work of the Committee.</w:t>
      </w:r>
    </w:p>
    <w:p w14:paraId="394D4C36" w14:textId="77777777" w:rsidR="00244EBF" w:rsidRPr="00244EBF" w:rsidRDefault="00244EBF" w:rsidP="00244EBF">
      <w:pPr>
        <w:pStyle w:val="SingleTxt"/>
      </w:pPr>
      <w:r w:rsidRPr="00244EBF">
        <w:tab/>
      </w:r>
      <w:r w:rsidRPr="00244EBF">
        <w:tab/>
        <w:t>14.</w:t>
      </w:r>
      <w:r w:rsidRPr="00244EBF">
        <w:tab/>
        <w:t>Space exploration and innovation.</w:t>
      </w:r>
    </w:p>
    <w:p w14:paraId="65717F5E" w14:textId="77777777" w:rsidR="00244EBF" w:rsidRPr="00244EBF" w:rsidRDefault="00244EBF" w:rsidP="00244EBF">
      <w:pPr>
        <w:pStyle w:val="SingleTxt"/>
      </w:pPr>
      <w:r w:rsidRPr="00244EBF">
        <w:tab/>
      </w:r>
      <w:r w:rsidRPr="00244EBF">
        <w:tab/>
        <w:t>15.</w:t>
      </w:r>
      <w:r w:rsidRPr="00244EBF">
        <w:tab/>
        <w:t>“Space2030” Agenda.</w:t>
      </w:r>
    </w:p>
    <w:p w14:paraId="4E302B7D" w14:textId="77777777" w:rsidR="00244EBF" w:rsidRPr="00244EBF" w:rsidRDefault="00244EBF" w:rsidP="00244EBF">
      <w:pPr>
        <w:pStyle w:val="SingleTxt"/>
      </w:pPr>
      <w:r w:rsidRPr="00244EBF">
        <w:tab/>
      </w:r>
      <w:r w:rsidRPr="00244EBF">
        <w:tab/>
        <w:t>16.</w:t>
      </w:r>
      <w:r w:rsidRPr="00244EBF">
        <w:tab/>
        <w:t>Other matters.</w:t>
      </w:r>
    </w:p>
    <w:p w14:paraId="29013B4B" w14:textId="77777777" w:rsidR="00244EBF" w:rsidRPr="00244EBF" w:rsidRDefault="00244EBF" w:rsidP="00244EBF">
      <w:pPr>
        <w:pStyle w:val="SingleTxt"/>
      </w:pPr>
      <w:r w:rsidRPr="00244EBF">
        <w:tab/>
      </w:r>
      <w:r w:rsidRPr="00244EBF">
        <w:tab/>
        <w:t>17.</w:t>
      </w:r>
      <w:r w:rsidRPr="00244EBF">
        <w:tab/>
        <w:t>Report of the Committee to the General Assembly.</w:t>
      </w:r>
    </w:p>
    <w:p w14:paraId="2F4C80C4" w14:textId="77777777" w:rsidR="00244EBF" w:rsidRPr="00225730" w:rsidRDefault="00244EBF" w:rsidP="00225730">
      <w:pPr>
        <w:pStyle w:val="SingleTxt"/>
        <w:spacing w:after="0" w:line="120" w:lineRule="atLeast"/>
        <w:rPr>
          <w:b/>
          <w:sz w:val="10"/>
        </w:rPr>
      </w:pPr>
    </w:p>
    <w:p w14:paraId="6942FFD1" w14:textId="77777777" w:rsidR="00225730" w:rsidRPr="00225730" w:rsidRDefault="00225730" w:rsidP="00225730">
      <w:pPr>
        <w:pStyle w:val="SingleTxt"/>
        <w:spacing w:after="0" w:line="120" w:lineRule="atLeast"/>
        <w:rPr>
          <w:b/>
          <w:sz w:val="10"/>
        </w:rPr>
      </w:pPr>
    </w:p>
    <w:p w14:paraId="5ACAB3E9" w14:textId="77777777" w:rsidR="00244EBF" w:rsidRPr="00244EBF" w:rsidRDefault="00244EBF" w:rsidP="00225730">
      <w:pPr>
        <w:pStyle w:val="H1"/>
        <w:tabs>
          <w:tab w:val="clear" w:pos="1022"/>
          <w:tab w:val="clear" w:pos="1267"/>
          <w:tab w:val="clear" w:pos="1742"/>
          <w:tab w:val="clear" w:pos="2218"/>
          <w:tab w:val="clear" w:pos="3182"/>
          <w:tab w:val="clear" w:pos="3658"/>
          <w:tab w:val="clear" w:pos="4622"/>
          <w:tab w:val="clear" w:pos="5098"/>
          <w:tab w:val="clear" w:pos="6048"/>
          <w:tab w:val="right" w:pos="1020"/>
          <w:tab w:val="left" w:pos="1264"/>
          <w:tab w:val="left" w:pos="1740"/>
          <w:tab w:val="left" w:pos="2217"/>
          <w:tab w:val="left" w:pos="3180"/>
          <w:tab w:val="left" w:pos="3657"/>
          <w:tab w:val="left" w:pos="4620"/>
          <w:tab w:val="left" w:pos="5097"/>
          <w:tab w:val="left" w:pos="6049"/>
        </w:tabs>
        <w:ind w:left="1259"/>
      </w:pPr>
      <w:r w:rsidRPr="00244EBF">
        <w:tab/>
        <w:t>C.</w:t>
      </w:r>
      <w:r w:rsidRPr="00244EBF">
        <w:tab/>
        <w:t>Membership</w:t>
      </w:r>
    </w:p>
    <w:p w14:paraId="2D64CBA3" w14:textId="77777777" w:rsidR="00244EBF" w:rsidRPr="00225730" w:rsidRDefault="00244EBF" w:rsidP="00225730">
      <w:pPr>
        <w:pStyle w:val="SingleTxt"/>
        <w:spacing w:after="0" w:line="120" w:lineRule="atLeast"/>
        <w:rPr>
          <w:b/>
          <w:sz w:val="10"/>
        </w:rPr>
      </w:pPr>
    </w:p>
    <w:p w14:paraId="029E937E" w14:textId="77777777" w:rsidR="00225730" w:rsidRPr="00225730" w:rsidRDefault="00225730" w:rsidP="00225730">
      <w:pPr>
        <w:pStyle w:val="SingleTxt"/>
        <w:spacing w:after="0" w:line="120" w:lineRule="atLeast"/>
        <w:rPr>
          <w:b/>
          <w:sz w:val="10"/>
        </w:rPr>
      </w:pPr>
    </w:p>
    <w:p w14:paraId="7E43B103" w14:textId="6960099E" w:rsidR="00244EBF" w:rsidRPr="00244EBF" w:rsidRDefault="00244EBF" w:rsidP="00E4180F">
      <w:pPr>
        <w:pStyle w:val="SingleTxt"/>
        <w:numPr>
          <w:ilvl w:val="0"/>
          <w:numId w:val="37"/>
        </w:numPr>
        <w:ind w:left="1267" w:right="1267"/>
      </w:pPr>
      <w:r w:rsidRPr="00244EBF">
        <w:t xml:space="preserve">In accordance with General Assembly resolutions 1472 A (XIV), 1721 E (XVI), </w:t>
      </w:r>
      <w:hyperlink r:id="rId22" w:history="1">
        <w:r w:rsidRPr="00244EBF">
          <w:rPr>
            <w:rStyle w:val="Hyperlink"/>
          </w:rPr>
          <w:t>3182 (XXVIII)</w:t>
        </w:r>
      </w:hyperlink>
      <w:r w:rsidRPr="00244EBF">
        <w:t xml:space="preserve">, </w:t>
      </w:r>
      <w:hyperlink r:id="rId23" w:history="1">
        <w:r w:rsidRPr="00244EBF">
          <w:rPr>
            <w:rStyle w:val="Hyperlink"/>
          </w:rPr>
          <w:t>32/196</w:t>
        </w:r>
      </w:hyperlink>
      <w:r w:rsidRPr="00244EBF">
        <w:t xml:space="preserve"> B, </w:t>
      </w:r>
      <w:hyperlink r:id="rId24" w:history="1">
        <w:r w:rsidRPr="00244EBF">
          <w:rPr>
            <w:rStyle w:val="Hyperlink"/>
          </w:rPr>
          <w:t>35/16</w:t>
        </w:r>
      </w:hyperlink>
      <w:r w:rsidRPr="00244EBF">
        <w:t xml:space="preserve">, </w:t>
      </w:r>
      <w:hyperlink r:id="rId25" w:history="1">
        <w:r w:rsidRPr="00244EBF">
          <w:rPr>
            <w:rStyle w:val="Hyperlink"/>
          </w:rPr>
          <w:t>49/33</w:t>
        </w:r>
      </w:hyperlink>
      <w:r w:rsidRPr="00244EBF">
        <w:t xml:space="preserve">, </w:t>
      </w:r>
      <w:hyperlink r:id="rId26" w:history="1">
        <w:r w:rsidRPr="00244EBF">
          <w:rPr>
            <w:rStyle w:val="Hyperlink"/>
          </w:rPr>
          <w:t>56/51</w:t>
        </w:r>
      </w:hyperlink>
      <w:r w:rsidRPr="00244EBF">
        <w:t xml:space="preserve">, </w:t>
      </w:r>
      <w:hyperlink r:id="rId27" w:history="1">
        <w:r w:rsidRPr="00244EBF">
          <w:rPr>
            <w:rStyle w:val="Hyperlink"/>
          </w:rPr>
          <w:t>57/116</w:t>
        </w:r>
      </w:hyperlink>
      <w:r w:rsidRPr="00244EBF">
        <w:t xml:space="preserve">, </w:t>
      </w:r>
      <w:hyperlink r:id="rId28" w:history="1">
        <w:r w:rsidRPr="00244EBF">
          <w:rPr>
            <w:rStyle w:val="Hyperlink"/>
          </w:rPr>
          <w:t>59/116</w:t>
        </w:r>
      </w:hyperlink>
      <w:r w:rsidRPr="00244EBF">
        <w:t xml:space="preserve">, </w:t>
      </w:r>
      <w:hyperlink r:id="rId29" w:history="1">
        <w:r w:rsidRPr="00244EBF">
          <w:rPr>
            <w:rStyle w:val="Hyperlink"/>
          </w:rPr>
          <w:t>62/217</w:t>
        </w:r>
      </w:hyperlink>
      <w:r w:rsidRPr="00244EBF">
        <w:t xml:space="preserve">, </w:t>
      </w:r>
      <w:hyperlink r:id="rId30" w:history="1">
        <w:r w:rsidRPr="00244EBF">
          <w:rPr>
            <w:rStyle w:val="Hyperlink"/>
          </w:rPr>
          <w:t>65/97</w:t>
        </w:r>
      </w:hyperlink>
      <w:r w:rsidRPr="00244EBF">
        <w:t xml:space="preserve">, </w:t>
      </w:r>
      <w:hyperlink r:id="rId31" w:history="1">
        <w:r w:rsidRPr="00244EBF">
          <w:rPr>
            <w:rStyle w:val="Hyperlink"/>
          </w:rPr>
          <w:t>66/71</w:t>
        </w:r>
      </w:hyperlink>
      <w:r w:rsidRPr="00244EBF">
        <w:t xml:space="preserve">, </w:t>
      </w:r>
      <w:hyperlink r:id="rId32" w:history="1">
        <w:r w:rsidRPr="00244EBF">
          <w:rPr>
            <w:rStyle w:val="Hyperlink"/>
          </w:rPr>
          <w:t>68/75</w:t>
        </w:r>
      </w:hyperlink>
      <w:r w:rsidRPr="00244EBF">
        <w:t xml:space="preserve">, </w:t>
      </w:r>
      <w:hyperlink r:id="rId33" w:history="1">
        <w:r w:rsidRPr="00244EBF">
          <w:rPr>
            <w:rStyle w:val="Hyperlink"/>
          </w:rPr>
          <w:t>69/85</w:t>
        </w:r>
      </w:hyperlink>
      <w:r w:rsidRPr="00244EBF">
        <w:t xml:space="preserve">, </w:t>
      </w:r>
      <w:hyperlink r:id="rId34" w:history="1">
        <w:r w:rsidRPr="00244EBF">
          <w:rPr>
            <w:rStyle w:val="Hyperlink"/>
          </w:rPr>
          <w:t>71/90</w:t>
        </w:r>
      </w:hyperlink>
      <w:r w:rsidRPr="00244EBF">
        <w:t xml:space="preserve">, </w:t>
      </w:r>
      <w:hyperlink r:id="rId35" w:history="1">
        <w:r w:rsidRPr="00244EBF">
          <w:rPr>
            <w:rStyle w:val="Hyperlink"/>
          </w:rPr>
          <w:t>72/77</w:t>
        </w:r>
      </w:hyperlink>
      <w:r w:rsidRPr="00244EBF">
        <w:t xml:space="preserve">, </w:t>
      </w:r>
      <w:hyperlink r:id="rId36" w:history="1">
        <w:r w:rsidRPr="00244EBF">
          <w:rPr>
            <w:rStyle w:val="Hyperlink"/>
          </w:rPr>
          <w:t>74/82</w:t>
        </w:r>
      </w:hyperlink>
      <w:r w:rsidRPr="00244EBF">
        <w:t xml:space="preserve">, </w:t>
      </w:r>
      <w:hyperlink r:id="rId37" w:history="1">
        <w:r w:rsidRPr="00244EBF">
          <w:rPr>
            <w:rStyle w:val="Hyperlink"/>
          </w:rPr>
          <w:t>76/76</w:t>
        </w:r>
      </w:hyperlink>
      <w:r w:rsidRPr="00244EBF">
        <w:t xml:space="preserve"> and </w:t>
      </w:r>
      <w:hyperlink r:id="rId38" w:history="1">
        <w:r w:rsidRPr="00244EBF">
          <w:rPr>
            <w:rStyle w:val="Hyperlink"/>
          </w:rPr>
          <w:t>77/121</w:t>
        </w:r>
      </w:hyperlink>
      <w:r w:rsidRPr="00244EBF">
        <w:t xml:space="preserve"> and decisions 45/315, 67/412, 67/528, 70/518, 73/517, 79/519 A and 79/519 B, the Committee was composed of the following 104 States: </w:t>
      </w:r>
      <w:bookmarkStart w:id="1" w:name="_Hlk136876521"/>
      <w:r w:rsidRPr="00244EBF">
        <w:t xml:space="preserve">Albania, Algeria, Angola, Argentina, Armenia, Australia, Austria, Azerbaijan, Bahrain, Bangladesh, Belarus, Belgium, Benin, Bolivia (Plurinational State of), Brazil, Bulgaria, Burkina Faso, Cameroon, Canada, Chad, Chile, China, Colombia, Costa Rica, Cuba, Cyprus, Czechia, </w:t>
      </w:r>
      <w:r w:rsidRPr="00244EBF">
        <w:rPr>
          <w:bCs/>
        </w:rPr>
        <w:t>Denmark</w:t>
      </w:r>
      <w:r w:rsidRPr="00244EBF">
        <w:t xml:space="preserve">, Djibouti, Dominican Republic, Ecuador, Egypt, El Salvador, Ethiopia, Finland, France, Germany, Ghana, Greece, Guatemala, Hungary, India, Indonesia, Iran (Islamic Republic of), Iraq, Israel, Italy, Japan, Jordan, Kazakhstan, Kenya, Kuwait, Latvia, Lebanon, Libya, Luxembourg, Malaysia, Mauritius, Mexico, Mongolia, Morocco, Netherlands (Kingdom of the), New Zealand, Nicaragua, Niger, Nigeria, Norway, Oman, Pakistan, Panama, Paraguay, Peru, Philippines, Poland, Portugal, Qatar, Republic of Korea, Romania, Russian Federation, Rwanda, Saudi Arabia, Senegal, Sierra Leone, Singapore, Slovakia, Slovenia, South Africa, Spain, Sri Lanka, Sudan, Sweden, Switzerland, Syrian Arab Republic, Thailand, Tunisia, Türkiye, Ukraine, United Arab Emirates, United Kingdom of Great Britain and Northern Ireland, United States of America, Uruguay, Uzbekistan, Venezuela (Bolivarian Republic of) and </w:t>
      </w:r>
      <w:r w:rsidR="00CF1820">
        <w:br/>
      </w:r>
      <w:r w:rsidRPr="00244EBF">
        <w:t>Viet Nam.</w:t>
      </w:r>
      <w:bookmarkEnd w:id="1"/>
    </w:p>
    <w:p w14:paraId="05EAB56E" w14:textId="77777777" w:rsidR="00244EBF" w:rsidRPr="00225730" w:rsidRDefault="00244EBF" w:rsidP="00225730">
      <w:pPr>
        <w:pStyle w:val="SingleTxt"/>
        <w:spacing w:after="0" w:line="120" w:lineRule="atLeast"/>
        <w:rPr>
          <w:b/>
          <w:sz w:val="10"/>
        </w:rPr>
      </w:pPr>
      <w:r w:rsidRPr="00244EBF">
        <w:rPr>
          <w:b/>
        </w:rPr>
        <w:tab/>
      </w:r>
    </w:p>
    <w:p w14:paraId="0C60AFD3" w14:textId="77777777" w:rsidR="00225730" w:rsidRPr="00225730" w:rsidRDefault="00225730" w:rsidP="00225730">
      <w:pPr>
        <w:pStyle w:val="SingleTxt"/>
        <w:spacing w:after="0" w:line="120" w:lineRule="atLeast"/>
        <w:rPr>
          <w:b/>
          <w:sz w:val="10"/>
        </w:rPr>
      </w:pPr>
    </w:p>
    <w:p w14:paraId="4435AC5B" w14:textId="77777777" w:rsidR="00244EBF" w:rsidRPr="00244EBF" w:rsidRDefault="00244EBF" w:rsidP="00225730">
      <w:pPr>
        <w:pStyle w:val="H1"/>
        <w:tabs>
          <w:tab w:val="clear" w:pos="1022"/>
          <w:tab w:val="clear" w:pos="1267"/>
          <w:tab w:val="clear" w:pos="1742"/>
          <w:tab w:val="clear" w:pos="2218"/>
          <w:tab w:val="clear" w:pos="3182"/>
          <w:tab w:val="clear" w:pos="3658"/>
          <w:tab w:val="clear" w:pos="4622"/>
          <w:tab w:val="clear" w:pos="5098"/>
          <w:tab w:val="clear" w:pos="6048"/>
          <w:tab w:val="right" w:pos="1020"/>
          <w:tab w:val="left" w:pos="1264"/>
          <w:tab w:val="left" w:pos="1740"/>
          <w:tab w:val="left" w:pos="2217"/>
          <w:tab w:val="left" w:pos="3180"/>
          <w:tab w:val="left" w:pos="3657"/>
          <w:tab w:val="left" w:pos="4620"/>
          <w:tab w:val="left" w:pos="5097"/>
          <w:tab w:val="left" w:pos="6049"/>
        </w:tabs>
        <w:ind w:left="1259"/>
      </w:pPr>
      <w:r w:rsidRPr="00244EBF">
        <w:tab/>
        <w:t>D.</w:t>
      </w:r>
      <w:r w:rsidRPr="00244EBF">
        <w:tab/>
        <w:t>Attendance</w:t>
      </w:r>
    </w:p>
    <w:p w14:paraId="5A21FB72" w14:textId="77777777" w:rsidR="00244EBF" w:rsidRPr="00225730" w:rsidRDefault="00244EBF" w:rsidP="00225730">
      <w:pPr>
        <w:pStyle w:val="SingleTxt"/>
        <w:spacing w:after="0" w:line="120" w:lineRule="atLeast"/>
        <w:rPr>
          <w:b/>
          <w:sz w:val="10"/>
        </w:rPr>
      </w:pPr>
    </w:p>
    <w:p w14:paraId="78B551F2" w14:textId="77777777" w:rsidR="00225730" w:rsidRPr="00225730" w:rsidRDefault="00225730" w:rsidP="00225730">
      <w:pPr>
        <w:pStyle w:val="SingleTxt"/>
        <w:spacing w:after="0" w:line="120" w:lineRule="atLeast"/>
        <w:rPr>
          <w:b/>
          <w:sz w:val="10"/>
        </w:rPr>
      </w:pPr>
    </w:p>
    <w:p w14:paraId="0636D7BF" w14:textId="77777777" w:rsidR="00244EBF" w:rsidRPr="00244EBF" w:rsidRDefault="00244EBF" w:rsidP="00E4180F">
      <w:pPr>
        <w:pStyle w:val="SingleTxt"/>
        <w:numPr>
          <w:ilvl w:val="0"/>
          <w:numId w:val="37"/>
        </w:numPr>
        <w:ind w:left="1267" w:right="1267"/>
      </w:pPr>
      <w:bookmarkStart w:id="2" w:name="_Hlk137464329"/>
      <w:r w:rsidRPr="00244EBF">
        <w:t xml:space="preserve">Representatives of the following […] States </w:t>
      </w:r>
      <w:bookmarkEnd w:id="2"/>
      <w:r w:rsidRPr="00244EBF">
        <w:t xml:space="preserve">members of the Committee attended the </w:t>
      </w:r>
      <w:r w:rsidRPr="00244EBF">
        <w:rPr>
          <w:bCs/>
        </w:rPr>
        <w:t>session</w:t>
      </w:r>
      <w:r w:rsidRPr="00244EBF">
        <w:t xml:space="preserve">: </w:t>
      </w:r>
      <w:bookmarkStart w:id="3" w:name="_Hlk136876690"/>
      <w:r w:rsidRPr="00244EBF">
        <w:t>Argentina, Armenia, Australia, Austria, Bahrain, Belarus, Belgium, Bolivia (Plurinational State of), Brazil, Bulgaria, Burkina Faso, Canada, Chad, Chile, China, Colombia, Costa Rica, Cuba, Czechia, Denmark, Dominican Republic, Ecuador, Egypt, El Salvador, Finland, France, Germany, Ghana, Greece, Guatemala, Hungary, India, Indonesia, Iran (Islamic Republic of), Israel, Italy, Japan, Kazakhstan, Kenya, Kuwait, Latvia, Luxembourg, Malaysia, Mexico, Mongolia, Morocco, Netherlands (Kingdom of the), New Zealand, Nigeria, Norway, Oman, Pakistan, Panama, Paraguay, Peru, Philippines, Poland, Portugal, Qatar, Republic of Korea, Romania, Russian Federation, Saudi Arabia, Singapore, Slovakia, Slovenia, South Africa, Spain, Sweden, Switzerland, Syrian Arab Republic, Thailand, Türkiye, Ukraine, United Arab Emirates, United Kingdom, United States, Uruguay and Venezuela (Bolivarian Republic of).</w:t>
      </w:r>
    </w:p>
    <w:bookmarkEnd w:id="3"/>
    <w:p w14:paraId="00FF6EFE" w14:textId="5624B3BD" w:rsidR="00244EBF" w:rsidRPr="00244EBF" w:rsidRDefault="00244EBF" w:rsidP="00E4180F">
      <w:pPr>
        <w:pStyle w:val="SingleTxt"/>
        <w:numPr>
          <w:ilvl w:val="0"/>
          <w:numId w:val="37"/>
        </w:numPr>
        <w:ind w:left="1267" w:right="1267"/>
      </w:pPr>
      <w:r w:rsidRPr="00244EBF">
        <w:lastRenderedPageBreak/>
        <w:t xml:space="preserve">The session was attended by representatives of the European Union, in its capacity as permanent observer of the Committee and in accordance with General Assembly resolutions </w:t>
      </w:r>
      <w:hyperlink r:id="rId39" w:history="1">
        <w:r w:rsidRPr="00244EBF">
          <w:rPr>
            <w:rStyle w:val="Hyperlink"/>
            <w:bCs/>
          </w:rPr>
          <w:t>65</w:t>
        </w:r>
        <w:r w:rsidRPr="00244EBF">
          <w:rPr>
            <w:rStyle w:val="Hyperlink"/>
          </w:rPr>
          <w:t>/276</w:t>
        </w:r>
      </w:hyperlink>
      <w:r w:rsidRPr="00244EBF">
        <w:t xml:space="preserve"> and </w:t>
      </w:r>
      <w:hyperlink r:id="rId40" w:history="1">
        <w:r w:rsidRPr="00244EBF">
          <w:rPr>
            <w:rStyle w:val="Hyperlink"/>
          </w:rPr>
          <w:t>73/91</w:t>
        </w:r>
      </w:hyperlink>
      <w:r w:rsidRPr="00244EBF">
        <w:t>.</w:t>
      </w:r>
    </w:p>
    <w:p w14:paraId="6251A704" w14:textId="77777777" w:rsidR="00244EBF" w:rsidRPr="00244EBF" w:rsidRDefault="00244EBF" w:rsidP="00E4180F">
      <w:pPr>
        <w:pStyle w:val="SingleTxt"/>
        <w:numPr>
          <w:ilvl w:val="0"/>
          <w:numId w:val="37"/>
        </w:numPr>
        <w:ind w:left="1267" w:right="1267"/>
      </w:pPr>
      <w:r w:rsidRPr="00244EBF">
        <w:t>At its 834th meeting, the Committee decided to admit Cambodia, Côte d’Ivoire, Honduras, the Lao People’s Democratic Republic, Maldives, Malta, the Republic of Moldova, Serbia and Uganda as observers, at their request, to attend the session and to address it, as appropriate, on the understanding that it would be without prejudice to further requests of that nature and that doing so would not involve any decision of the Committee concerning status.</w:t>
      </w:r>
    </w:p>
    <w:p w14:paraId="71812CC0" w14:textId="77777777" w:rsidR="00244EBF" w:rsidRPr="00244EBF" w:rsidRDefault="00244EBF" w:rsidP="00E4180F">
      <w:pPr>
        <w:pStyle w:val="SingleTxt"/>
        <w:numPr>
          <w:ilvl w:val="0"/>
          <w:numId w:val="37"/>
        </w:numPr>
        <w:ind w:left="1267" w:right="1267"/>
      </w:pPr>
      <w:r w:rsidRPr="00244EBF">
        <w:t>At the same meeting, the Committee considered the request of Myanmar to attend the session. The Committee recalled the practice of other United Nations bodies in similar situations to which competing credentials had been submitted and agreed to defer a decision on the credentials of Myanmar, pending guidance from the Credentials Committee of the General Assembly.</w:t>
      </w:r>
    </w:p>
    <w:p w14:paraId="039EC76D" w14:textId="77777777" w:rsidR="00244EBF" w:rsidRPr="00244EBF" w:rsidRDefault="00244EBF" w:rsidP="00E4180F">
      <w:pPr>
        <w:pStyle w:val="SingleTxt"/>
        <w:numPr>
          <w:ilvl w:val="0"/>
          <w:numId w:val="37"/>
        </w:numPr>
        <w:ind w:left="1267" w:right="1267"/>
      </w:pPr>
      <w:r w:rsidRPr="00244EBF">
        <w:t>Also at the same meeting, the Committee decided to admit the Holy See as an observer, at its request, to attend the session and to address it, as appropriate, on the understanding that it would be without prejudice to further requests of that nature and that doing so would not involve any decision of the Committee concerning status.</w:t>
      </w:r>
    </w:p>
    <w:p w14:paraId="7D5555DE" w14:textId="77777777" w:rsidR="00244EBF" w:rsidRPr="00244EBF" w:rsidDel="00E47DAB" w:rsidRDefault="00244EBF" w:rsidP="00E4180F">
      <w:pPr>
        <w:pStyle w:val="SingleTxt"/>
        <w:numPr>
          <w:ilvl w:val="0"/>
          <w:numId w:val="37"/>
        </w:numPr>
        <w:ind w:left="1267" w:right="1267"/>
      </w:pPr>
      <w:r w:rsidRPr="00244EBF">
        <w:t xml:space="preserve">At its 835th meeting, on 25 June 2025, the Committee decided to admit the League of Arab States as </w:t>
      </w:r>
      <w:r w:rsidRPr="00244EBF">
        <w:rPr>
          <w:bCs/>
        </w:rPr>
        <w:t>an observer</w:t>
      </w:r>
      <w:r w:rsidRPr="00244EBF">
        <w:t>, at its request, to attend the session and to address it, as appropriate, on the understanding that it would be without prejudice to further requests of that nature and that doing so would not involve any decision of the Committee concerning status.</w:t>
      </w:r>
    </w:p>
    <w:p w14:paraId="4DCC2B78" w14:textId="77777777" w:rsidR="00244EBF" w:rsidRPr="00244EBF" w:rsidRDefault="00244EBF" w:rsidP="00E4180F">
      <w:pPr>
        <w:pStyle w:val="SingleTxt"/>
        <w:numPr>
          <w:ilvl w:val="0"/>
          <w:numId w:val="37"/>
        </w:numPr>
        <w:ind w:left="1267" w:right="1267"/>
      </w:pPr>
      <w:r w:rsidRPr="00244EBF">
        <w:t>Observers for the Economic and Social Commission for Asia and the Pacific, the Food and Agriculture Organization of the United Nations, the International Atomic Energy Agency and the International Civil Aviation Organization attended the session.</w:t>
      </w:r>
    </w:p>
    <w:p w14:paraId="2CAC8452" w14:textId="77777777" w:rsidR="00244EBF" w:rsidRPr="00244EBF" w:rsidRDefault="00244EBF" w:rsidP="00E4180F">
      <w:pPr>
        <w:pStyle w:val="SingleTxt"/>
        <w:numPr>
          <w:ilvl w:val="0"/>
          <w:numId w:val="37"/>
        </w:numPr>
        <w:ind w:left="1267" w:right="1267"/>
      </w:pPr>
      <w:r w:rsidRPr="00244EBF">
        <w:t xml:space="preserve">The session was also attended by observers for the following intergovernmental organizations having permanent observer status with the Committee: Asia-Pacific Space Cooperation Organization (APSCO), Committee on Earth Observation Satellites (CEOS), European Organization for Astronomical Research in the Southern Hemisphere (ESO), </w:t>
      </w:r>
      <w:r w:rsidRPr="00244EBF">
        <w:rPr>
          <w:bCs/>
        </w:rPr>
        <w:t>European</w:t>
      </w:r>
      <w:r w:rsidRPr="00244EBF">
        <w:t xml:space="preserve"> Space Agency (ESA), European Telecommunications Satellite Organization, Inter-Islamic Network on Space Sciences and Technology (ISNET), </w:t>
      </w:r>
      <w:r w:rsidRPr="00244EBF">
        <w:rPr>
          <w:bCs/>
        </w:rPr>
        <w:t>International</w:t>
      </w:r>
      <w:r w:rsidRPr="00244EBF">
        <w:t xml:space="preserve"> Organization of Space Communications (Intersputnik), Regional Centre for Remote Sensing of the North African States and </w:t>
      </w:r>
      <w:r w:rsidRPr="00244EBF">
        <w:rPr>
          <w:bCs/>
        </w:rPr>
        <w:t>Square Kilometre Array Observatory</w:t>
      </w:r>
      <w:r w:rsidRPr="00244EBF">
        <w:t>.</w:t>
      </w:r>
    </w:p>
    <w:p w14:paraId="715CFC94" w14:textId="77777777" w:rsidR="00244EBF" w:rsidRPr="00244EBF" w:rsidRDefault="00244EBF" w:rsidP="00E4180F">
      <w:pPr>
        <w:pStyle w:val="SingleTxt"/>
        <w:numPr>
          <w:ilvl w:val="0"/>
          <w:numId w:val="37"/>
        </w:numPr>
        <w:ind w:left="1267" w:right="1267"/>
      </w:pPr>
      <w:r w:rsidRPr="00244EBF">
        <w:t>At its 834th meeting, the Committee decided to admit the African Space Agency as an observer, at its request, to attend the session and to address it, as appropriate, on the understanding that it would be without prejudice to further requests of that nature and that doing so would not involve any decision of the Committee concerning status.</w:t>
      </w:r>
    </w:p>
    <w:p w14:paraId="17529BD9" w14:textId="06A4321F" w:rsidR="00244EBF" w:rsidRPr="00244EBF" w:rsidRDefault="00244EBF" w:rsidP="00E4180F">
      <w:pPr>
        <w:pStyle w:val="SingleTxt"/>
        <w:numPr>
          <w:ilvl w:val="0"/>
          <w:numId w:val="37"/>
        </w:numPr>
        <w:ind w:left="1267" w:right="1267"/>
      </w:pPr>
      <w:r w:rsidRPr="00244EBF">
        <w:t>The session was attended by the observer for the Space and Global Health Network, in accordance with the agreement of the Scientific and Technical Subcommittee at its sixtieth session (</w:t>
      </w:r>
      <w:hyperlink r:id="rId41" w:history="1">
        <w:r w:rsidRPr="00244EBF">
          <w:rPr>
            <w:rStyle w:val="Hyperlink"/>
          </w:rPr>
          <w:t>A/AC.105/1279</w:t>
        </w:r>
      </w:hyperlink>
      <w:r w:rsidRPr="00244EBF">
        <w:t>, para. 238).</w:t>
      </w:r>
    </w:p>
    <w:p w14:paraId="5731A4D4" w14:textId="77777777" w:rsidR="00244EBF" w:rsidRPr="00244EBF" w:rsidRDefault="00244EBF" w:rsidP="00E4180F">
      <w:pPr>
        <w:pStyle w:val="SingleTxt"/>
        <w:numPr>
          <w:ilvl w:val="0"/>
          <w:numId w:val="37"/>
        </w:numPr>
        <w:ind w:left="1267" w:right="1267"/>
      </w:pPr>
      <w:r w:rsidRPr="00244EBF">
        <w:t xml:space="preserve">The session was also attended by observers for the following non-governmental organizations having permanent observer status with the Committee: CANEUS International, Committee on Space Research (COSPAR), European Astronomical Society, European Space Policy Institute (ESPI), For All Moonkind, Global Satellite Operators Association, International Academy of Astronautics (IAA), International Astronautical Federation (IAF), International Astronomical Union (IAU), International Institute of Space Law (IISL), International Peace Alliance (Space), Moon Village Association, National Space Society (NSS), Open Lunar Foundation, Outer Space Institute (OSI), Prince Sultan bin Abdulaziz International Prize for Water, Secure World Foundation (SWF), Space Generation Advisory Council </w:t>
      </w:r>
      <w:r w:rsidRPr="00244EBF">
        <w:lastRenderedPageBreak/>
        <w:t>(SGAC), Three Country –Trusted Broker, University Space Engineering Consortium-Global (UNISEC-Global) and World Space Week Association.</w:t>
      </w:r>
    </w:p>
    <w:p w14:paraId="268D406B" w14:textId="77777777" w:rsidR="00244EBF" w:rsidRPr="00244EBF" w:rsidRDefault="00244EBF" w:rsidP="00E4180F">
      <w:pPr>
        <w:pStyle w:val="SingleTxt"/>
        <w:numPr>
          <w:ilvl w:val="0"/>
          <w:numId w:val="37"/>
        </w:numPr>
        <w:ind w:left="1267" w:right="1267"/>
        <w:rPr>
          <w:bCs/>
        </w:rPr>
      </w:pPr>
      <w:r w:rsidRPr="00244EBF">
        <w:rPr>
          <w:bCs/>
        </w:rPr>
        <w:t xml:space="preserve">At its 834th meeting, the Committee decided to admit the Alliance for Collaboration in the Exploration of Space (ACES Worldwide), the Lunar Policy </w:t>
      </w:r>
      <w:r w:rsidRPr="00244EBF">
        <w:t>Platform</w:t>
      </w:r>
      <w:r w:rsidRPr="00244EBF">
        <w:rPr>
          <w:bCs/>
        </w:rPr>
        <w:t xml:space="preserve"> Foundation and Women in Aerospace Europe as observers, at their request, to attend the session and to address it, as appropriate, on the understanding that it would be without prejudice to further </w:t>
      </w:r>
      <w:r w:rsidRPr="00244EBF">
        <w:t>requests</w:t>
      </w:r>
      <w:r w:rsidRPr="00244EBF">
        <w:rPr>
          <w:bCs/>
        </w:rPr>
        <w:t xml:space="preserve"> of that nature and that doing so would not involve any decision of the Committee concerning status.</w:t>
      </w:r>
    </w:p>
    <w:p w14:paraId="13ED15D3" w14:textId="6A6A6111" w:rsidR="00244EBF" w:rsidRPr="00244EBF" w:rsidRDefault="00244EBF" w:rsidP="00E4180F">
      <w:pPr>
        <w:pStyle w:val="SingleTxt"/>
        <w:numPr>
          <w:ilvl w:val="0"/>
          <w:numId w:val="37"/>
        </w:numPr>
        <w:ind w:left="1267" w:right="1267"/>
      </w:pPr>
      <w:r w:rsidRPr="00244EBF">
        <w:t xml:space="preserve">A list of </w:t>
      </w:r>
      <w:r w:rsidRPr="00244EBF">
        <w:rPr>
          <w:bCs/>
        </w:rPr>
        <w:t>representatives</w:t>
      </w:r>
      <w:r w:rsidRPr="00244EBF">
        <w:t xml:space="preserve"> of States members of the Committee, United Nations entities and other organizations attending the session is contained in </w:t>
      </w:r>
      <w:hyperlink r:id="rId42" w:history="1">
        <w:r w:rsidRPr="00244EBF">
          <w:rPr>
            <w:rStyle w:val="Hyperlink"/>
          </w:rPr>
          <w:t>A/AC.105/2025/INF/1</w:t>
        </w:r>
      </w:hyperlink>
      <w:r w:rsidRPr="00244EBF">
        <w:t>.</w:t>
      </w:r>
    </w:p>
    <w:p w14:paraId="096B0809" w14:textId="77777777" w:rsidR="00244EBF" w:rsidRPr="00225730" w:rsidRDefault="00244EBF" w:rsidP="00225730">
      <w:pPr>
        <w:pStyle w:val="SingleTxt"/>
        <w:spacing w:after="0" w:line="120" w:lineRule="atLeast"/>
        <w:rPr>
          <w:b/>
          <w:sz w:val="10"/>
        </w:rPr>
      </w:pPr>
    </w:p>
    <w:p w14:paraId="19BDEB2D" w14:textId="77777777" w:rsidR="00225730" w:rsidRPr="00225730" w:rsidRDefault="00225730" w:rsidP="00225730">
      <w:pPr>
        <w:pStyle w:val="SingleTxt"/>
        <w:spacing w:after="0" w:line="120" w:lineRule="atLeast"/>
        <w:rPr>
          <w:b/>
          <w:sz w:val="10"/>
        </w:rPr>
      </w:pPr>
    </w:p>
    <w:p w14:paraId="1B942BD2" w14:textId="77777777" w:rsidR="00244EBF" w:rsidRPr="00244EBF" w:rsidRDefault="00244EBF" w:rsidP="00225730">
      <w:pPr>
        <w:pStyle w:val="H1"/>
        <w:tabs>
          <w:tab w:val="clear" w:pos="1022"/>
          <w:tab w:val="clear" w:pos="1267"/>
          <w:tab w:val="clear" w:pos="1742"/>
          <w:tab w:val="clear" w:pos="2218"/>
          <w:tab w:val="clear" w:pos="3182"/>
          <w:tab w:val="clear" w:pos="3658"/>
          <w:tab w:val="clear" w:pos="4622"/>
          <w:tab w:val="clear" w:pos="5098"/>
          <w:tab w:val="clear" w:pos="6048"/>
          <w:tab w:val="right" w:pos="1020"/>
          <w:tab w:val="left" w:pos="1264"/>
          <w:tab w:val="left" w:pos="1740"/>
          <w:tab w:val="left" w:pos="2217"/>
          <w:tab w:val="left" w:pos="3180"/>
          <w:tab w:val="left" w:pos="3657"/>
          <w:tab w:val="left" w:pos="4620"/>
          <w:tab w:val="left" w:pos="5097"/>
          <w:tab w:val="left" w:pos="6049"/>
        </w:tabs>
        <w:ind w:left="1259"/>
      </w:pPr>
      <w:r w:rsidRPr="00244EBF">
        <w:tab/>
        <w:t>F.</w:t>
      </w:r>
      <w:r w:rsidRPr="00244EBF">
        <w:tab/>
        <w:t xml:space="preserve">Adoption of the report of the Committee </w:t>
      </w:r>
    </w:p>
    <w:p w14:paraId="1E61CB97" w14:textId="77777777" w:rsidR="00244EBF" w:rsidRPr="00225730" w:rsidRDefault="00244EBF" w:rsidP="00225730">
      <w:pPr>
        <w:pStyle w:val="SingleTxt"/>
        <w:spacing w:after="0" w:line="120" w:lineRule="atLeast"/>
        <w:rPr>
          <w:b/>
          <w:sz w:val="10"/>
        </w:rPr>
      </w:pPr>
    </w:p>
    <w:p w14:paraId="57374DF1" w14:textId="77777777" w:rsidR="00225730" w:rsidRPr="00225730" w:rsidRDefault="00225730" w:rsidP="00225730">
      <w:pPr>
        <w:pStyle w:val="SingleTxt"/>
        <w:spacing w:after="0" w:line="120" w:lineRule="atLeast"/>
        <w:rPr>
          <w:b/>
          <w:sz w:val="10"/>
        </w:rPr>
      </w:pPr>
    </w:p>
    <w:p w14:paraId="3C920190" w14:textId="77777777" w:rsidR="00244EBF" w:rsidRPr="00244EBF" w:rsidRDefault="00244EBF" w:rsidP="00E4180F">
      <w:pPr>
        <w:pStyle w:val="SingleTxt"/>
        <w:numPr>
          <w:ilvl w:val="0"/>
          <w:numId w:val="37"/>
        </w:numPr>
        <w:ind w:left="1267" w:right="1267"/>
        <w:rPr>
          <w:bCs/>
        </w:rPr>
      </w:pPr>
      <w:r w:rsidRPr="00244EBF">
        <w:rPr>
          <w:bCs/>
        </w:rPr>
        <w:t>After considering the various items before it, the Committee, at its […] meeting, on […] July 2025, adopted its report to the General Assembly containing the recommendations and decisions set out below.</w:t>
      </w:r>
    </w:p>
    <w:p w14:paraId="445C07C4" w14:textId="5BA6D3FB" w:rsidR="002206A7" w:rsidRPr="00394496" w:rsidRDefault="00225730" w:rsidP="002206A7">
      <w:pPr>
        <w:pStyle w:val="SingleTxt"/>
      </w:pPr>
      <w:r>
        <w:rPr>
          <w:noProof/>
          <w:w w:val="100"/>
        </w:rPr>
        <mc:AlternateContent>
          <mc:Choice Requires="wps">
            <w:drawing>
              <wp:anchor distT="0" distB="0" distL="114300" distR="114300" simplePos="0" relativeHeight="251659264" behindDoc="0" locked="0" layoutInCell="1" allowOverlap="1" wp14:anchorId="2A1F3088" wp14:editId="4DE155E7">
                <wp:simplePos x="0" y="0"/>
                <wp:positionH relativeFrom="column">
                  <wp:posOffset>2669540</wp:posOffset>
                </wp:positionH>
                <wp:positionV relativeFrom="paragraph">
                  <wp:posOffset>304800</wp:posOffset>
                </wp:positionV>
                <wp:extent cx="914400" cy="0"/>
                <wp:effectExtent l="0" t="0" r="0" b="0"/>
                <wp:wrapNone/>
                <wp:docPr id="692970196"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24F46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" strokecolor="#010000" strokeweight=".25pt">
                <v:stroke joinstyle="miter"/>
              </v:line>
            </w:pict>
          </mc:Fallback>
        </mc:AlternateContent>
      </w:r>
    </w:p>
    <w:sectPr w:rsidR="002206A7" w:rsidRPr="00394496" w:rsidSect="00394496">
      <w:endnotePr>
        <w:numFmt w:val="decimal"/>
      </w:endnotePr>
      <w:type w:val="continuous"/>
      <w:pgSz w:w="11909" w:h="16834"/>
      <w:pgMar w:top="1440" w:right="1032" w:bottom="1151" w:left="1032" w:header="432" w:footer="504"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art" w:date="2025-06-27T09:05:00Z" w:initials="Start">
    <w:p w14:paraId="5580B728" w14:textId="77777777" w:rsidR="002206A7" w:rsidRDefault="002206A7">
      <w:pPr>
        <w:pStyle w:val="CommentText"/>
      </w:pPr>
      <w:r>
        <w:rPr>
          <w:rStyle w:val="CommentReference"/>
        </w:rPr>
        <w:annotationRef/>
      </w:r>
      <w:r>
        <w:t>&lt;&lt;ODS JOB NO&gt;&gt;V2504592E&lt;&lt;ODS JOB NO&gt;&gt;</w:t>
      </w:r>
    </w:p>
    <w:p w14:paraId="71E2F603" w14:textId="77777777" w:rsidR="002206A7" w:rsidRDefault="002206A7">
      <w:pPr>
        <w:pStyle w:val="CommentText"/>
      </w:pPr>
      <w:r>
        <w:t>&lt;&lt;ODS DOC SYMBOL1&gt;&gt;A/AC.105/L.340&lt;&lt;ODS DOC SYMBOL1&gt;&gt;</w:t>
      </w:r>
    </w:p>
    <w:p w14:paraId="4F8DC41B" w14:textId="2B04D51D" w:rsidR="002206A7" w:rsidRDefault="002206A7">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8DC4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88D3C0" w16cex:dateUtc="2025-06-27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8DC41B" w16cid:durableId="6E88D3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A40B5" w14:textId="77777777" w:rsidR="005B1A4E" w:rsidRDefault="005B1A4E" w:rsidP="00331D20">
      <w:r>
        <w:separator/>
      </w:r>
    </w:p>
  </w:endnote>
  <w:endnote w:type="continuationSeparator" w:id="0">
    <w:p w14:paraId="59A080B3" w14:textId="77777777" w:rsidR="005B1A4E" w:rsidRDefault="005B1A4E" w:rsidP="0033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Layout w:type="fixed"/>
      <w:tblLook w:val="0000" w:firstRow="0" w:lastRow="0" w:firstColumn="0" w:lastColumn="0" w:noHBand="0" w:noVBand="0"/>
    </w:tblPr>
    <w:tblGrid>
      <w:gridCol w:w="4922"/>
      <w:gridCol w:w="4923"/>
    </w:tblGrid>
    <w:tr w:rsidR="002206A7" w14:paraId="227EB0D4" w14:textId="77777777" w:rsidTr="002206A7">
      <w:trPr>
        <w:jc w:val="center"/>
      </w:trPr>
      <w:tc>
        <w:tcPr>
          <w:tcW w:w="4922" w:type="dxa"/>
          <w:shd w:val="clear" w:color="auto" w:fill="auto"/>
        </w:tcPr>
        <w:p w14:paraId="55D802DB" w14:textId="22D978C8" w:rsidR="002206A7" w:rsidRPr="002206A7" w:rsidRDefault="002206A7" w:rsidP="002206A7">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V.25-10404</w:t>
          </w:r>
          <w:r>
            <w:rPr>
              <w:b w:val="0"/>
              <w:w w:val="103"/>
              <w:sz w:val="14"/>
            </w:rPr>
            <w:fldChar w:fldCharType="end"/>
          </w:r>
        </w:p>
      </w:tc>
      <w:tc>
        <w:tcPr>
          <w:tcW w:w="4923" w:type="dxa"/>
          <w:shd w:val="clear" w:color="auto" w:fill="auto"/>
        </w:tcPr>
        <w:p w14:paraId="5AF274FB" w14:textId="6CB0DF62" w:rsidR="002206A7" w:rsidRPr="002206A7" w:rsidRDefault="002206A7" w:rsidP="002206A7">
          <w:pPr>
            <w:pStyle w:val="Footer"/>
            <w:rPr>
              <w:w w:val="103"/>
            </w:rPr>
          </w:pPr>
          <w:r>
            <w:rPr>
              <w:w w:val="103"/>
            </w:rPr>
            <w:fldChar w:fldCharType="begin"/>
          </w:r>
          <w:r>
            <w:rPr>
              <w:w w:val="103"/>
            </w:rPr>
            <w:instrText xml:space="preserve"> PAGE  \* Arabic  \* MERGEFORMAT </w:instrText>
          </w:r>
          <w:r>
            <w:rPr>
              <w:w w:val="103"/>
            </w:rPr>
            <w:fldChar w:fldCharType="separate"/>
          </w:r>
          <w:r>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5</w:t>
          </w:r>
          <w:r>
            <w:rPr>
              <w:w w:val="103"/>
            </w:rPr>
            <w:fldChar w:fldCharType="end"/>
          </w:r>
        </w:p>
      </w:tc>
    </w:tr>
  </w:tbl>
  <w:p w14:paraId="1E3742A7" w14:textId="77777777" w:rsidR="002206A7" w:rsidRPr="002206A7" w:rsidRDefault="002206A7" w:rsidP="00220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Layout w:type="fixed"/>
      <w:tblLook w:val="0000" w:firstRow="0" w:lastRow="0" w:firstColumn="0" w:lastColumn="0" w:noHBand="0" w:noVBand="0"/>
    </w:tblPr>
    <w:tblGrid>
      <w:gridCol w:w="4922"/>
      <w:gridCol w:w="4923"/>
    </w:tblGrid>
    <w:tr w:rsidR="002206A7" w14:paraId="50285E16" w14:textId="77777777" w:rsidTr="002206A7">
      <w:trPr>
        <w:jc w:val="center"/>
      </w:trPr>
      <w:tc>
        <w:tcPr>
          <w:tcW w:w="4922" w:type="dxa"/>
          <w:shd w:val="clear" w:color="auto" w:fill="auto"/>
        </w:tcPr>
        <w:p w14:paraId="504CDFEC" w14:textId="66C46C71" w:rsidR="002206A7" w:rsidRPr="002206A7" w:rsidRDefault="002206A7" w:rsidP="002206A7">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c>
        <w:tcPr>
          <w:tcW w:w="4923" w:type="dxa"/>
          <w:shd w:val="clear" w:color="auto" w:fill="auto"/>
        </w:tcPr>
        <w:p w14:paraId="30372F8F" w14:textId="6F48200C" w:rsidR="002206A7" w:rsidRPr="002206A7" w:rsidRDefault="002206A7" w:rsidP="002206A7">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V.25-10404</w:t>
          </w:r>
          <w:r>
            <w:rPr>
              <w:b w:val="0"/>
              <w:w w:val="103"/>
              <w:sz w:val="14"/>
            </w:rPr>
            <w:fldChar w:fldCharType="end"/>
          </w:r>
        </w:p>
      </w:tc>
    </w:tr>
  </w:tbl>
  <w:p w14:paraId="3DA4C8C7" w14:textId="77777777" w:rsidR="002206A7" w:rsidRPr="002206A7" w:rsidRDefault="002206A7" w:rsidP="00220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859"/>
      <w:gridCol w:w="4923"/>
    </w:tblGrid>
    <w:tr w:rsidR="002206A7" w14:paraId="72E85B46" w14:textId="77777777" w:rsidTr="002206A7">
      <w:tc>
        <w:tcPr>
          <w:tcW w:w="3859" w:type="dxa"/>
        </w:tcPr>
        <w:p w14:paraId="28295A4C" w14:textId="16C704F2" w:rsidR="002206A7" w:rsidRDefault="002206A7" w:rsidP="002206A7">
          <w:pPr>
            <w:pStyle w:val="ReleaseDate0"/>
          </w:pPr>
          <w:r>
            <w:rPr>
              <w:noProof/>
            </w:rPr>
            <w:drawing>
              <wp:anchor distT="0" distB="0" distL="114300" distR="114300" simplePos="0" relativeHeight="251662848" behindDoc="0" locked="0" layoutInCell="1" allowOverlap="1" wp14:anchorId="365C05D0" wp14:editId="76C3C5F2">
                <wp:simplePos x="0" y="0"/>
                <wp:positionH relativeFrom="column">
                  <wp:posOffset>5511165</wp:posOffset>
                </wp:positionH>
                <wp:positionV relativeFrom="paragraph">
                  <wp:posOffset>-292100</wp:posOffset>
                </wp:positionV>
                <wp:extent cx="694690" cy="694690"/>
                <wp:effectExtent l="0" t="0" r="0" b="0"/>
                <wp:wrapNone/>
                <wp:docPr id="19593615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V.25-10404 (E) </w:t>
          </w:r>
        </w:p>
        <w:p w14:paraId="78EEED82" w14:textId="5579DDB0" w:rsidR="002206A7" w:rsidRPr="002206A7" w:rsidRDefault="002206A7" w:rsidP="002206A7">
          <w:pPr>
            <w:pStyle w:val="Footer"/>
            <w:spacing w:before="120" w:line="210" w:lineRule="atLeast"/>
            <w:rPr>
              <w:rFonts w:ascii="Barcode 3 of 9 by request" w:hAnsi="Barcode 3 of 9 by request"/>
              <w:b w:val="0"/>
              <w:sz w:val="24"/>
              <w:lang w:val="en-GB"/>
            </w:rPr>
          </w:pPr>
          <w:r>
            <w:rPr>
              <w:rFonts w:ascii="Barcode 3 of 9 by request" w:hAnsi="Barcode 3 of 9 by request"/>
              <w:sz w:val="24"/>
              <w:lang w:val="en-GB"/>
            </w:rPr>
            <w:t>*2510404*</w:t>
          </w:r>
        </w:p>
      </w:tc>
      <w:tc>
        <w:tcPr>
          <w:tcW w:w="4923" w:type="dxa"/>
        </w:tcPr>
        <w:p w14:paraId="011A8EE3" w14:textId="46F66D14" w:rsidR="002206A7" w:rsidRDefault="002206A7" w:rsidP="002206A7">
          <w:pPr>
            <w:pStyle w:val="Footer"/>
            <w:jc w:val="right"/>
            <w:rPr>
              <w:b w:val="0"/>
              <w:sz w:val="20"/>
            </w:rPr>
          </w:pPr>
          <w:r>
            <w:rPr>
              <w:b w:val="0"/>
              <w:sz w:val="20"/>
            </w:rPr>
            <w:drawing>
              <wp:inline distT="0" distB="0" distL="0" distR="0" wp14:anchorId="76C380CA" wp14:editId="2FD7B59D">
                <wp:extent cx="929642" cy="231648"/>
                <wp:effectExtent l="0" t="0" r="3810" b="0"/>
                <wp:docPr id="1616611487" name="Picture 2"/>
                <wp:cNvGraphicFramePr/>
                <a:graphic xmlns:a="http://schemas.openxmlformats.org/drawingml/2006/main">
                  <a:graphicData uri="http://schemas.openxmlformats.org/drawingml/2006/picture">
                    <pic:pic xmlns:pic="http://schemas.openxmlformats.org/drawingml/2006/picture">
                      <pic:nvPicPr>
                        <pic:cNvPr id="1616611487" name=""/>
                        <pic:cNvPicPr/>
                      </pic:nvPicPr>
                      <pic:blipFill>
                        <a:blip r:embed="rId2">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p>
      </w:tc>
    </w:tr>
  </w:tbl>
  <w:p w14:paraId="1D858067" w14:textId="77777777" w:rsidR="002206A7" w:rsidRPr="002206A7" w:rsidRDefault="002206A7" w:rsidP="002206A7">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D5064" w14:textId="77777777" w:rsidR="005B1A4E" w:rsidRDefault="005B1A4E" w:rsidP="00331D20">
      <w:r>
        <w:separator/>
      </w:r>
    </w:p>
  </w:footnote>
  <w:footnote w:type="continuationSeparator" w:id="0">
    <w:p w14:paraId="5A4D5F5F" w14:textId="77777777" w:rsidR="005B1A4E" w:rsidRDefault="005B1A4E" w:rsidP="00331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4923"/>
    </w:tblGrid>
    <w:tr w:rsidR="002206A7" w14:paraId="663B5FFA" w14:textId="77777777" w:rsidTr="002206A7">
      <w:trPr>
        <w:trHeight w:hRule="exact" w:val="864"/>
        <w:jc w:val="center"/>
      </w:trPr>
      <w:tc>
        <w:tcPr>
          <w:tcW w:w="4882" w:type="dxa"/>
          <w:shd w:val="clear" w:color="auto" w:fill="auto"/>
          <w:vAlign w:val="bottom"/>
        </w:tcPr>
        <w:p w14:paraId="6F2F28CC" w14:textId="5755ED89" w:rsidR="002206A7" w:rsidRPr="002206A7" w:rsidRDefault="002206A7" w:rsidP="002206A7">
          <w:pPr>
            <w:pStyle w:val="Header"/>
            <w:spacing w:after="80"/>
            <w:rPr>
              <w:b/>
            </w:rPr>
          </w:pPr>
          <w:r>
            <w:rPr>
              <w:b/>
            </w:rPr>
            <w:fldChar w:fldCharType="begin"/>
          </w:r>
          <w:r>
            <w:rPr>
              <w:b/>
            </w:rPr>
            <w:instrText xml:space="preserve"> DOCVARIABLE "sss1" \* MERGEFORMAT </w:instrText>
          </w:r>
          <w:r>
            <w:rPr>
              <w:b/>
            </w:rPr>
            <w:fldChar w:fldCharType="separate"/>
          </w:r>
          <w:r>
            <w:rPr>
              <w:b/>
            </w:rPr>
            <w:t>A/AC.105/L.340</w:t>
          </w:r>
          <w:r>
            <w:rPr>
              <w:b/>
            </w:rPr>
            <w:fldChar w:fldCharType="end"/>
          </w:r>
        </w:p>
      </w:tc>
      <w:tc>
        <w:tcPr>
          <w:tcW w:w="4923" w:type="dxa"/>
          <w:shd w:val="clear" w:color="auto" w:fill="auto"/>
          <w:vAlign w:val="bottom"/>
        </w:tcPr>
        <w:p w14:paraId="7F3D1AD5" w14:textId="77777777" w:rsidR="002206A7" w:rsidRDefault="002206A7" w:rsidP="002206A7">
          <w:pPr>
            <w:pStyle w:val="Header"/>
          </w:pPr>
        </w:p>
      </w:tc>
    </w:tr>
  </w:tbl>
  <w:p w14:paraId="246D2106" w14:textId="77777777" w:rsidR="002206A7" w:rsidRPr="002206A7" w:rsidRDefault="002206A7" w:rsidP="00220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4923"/>
    </w:tblGrid>
    <w:tr w:rsidR="002206A7" w14:paraId="035C4B97" w14:textId="77777777" w:rsidTr="002206A7">
      <w:trPr>
        <w:trHeight w:hRule="exact" w:val="864"/>
        <w:jc w:val="center"/>
      </w:trPr>
      <w:tc>
        <w:tcPr>
          <w:tcW w:w="4882" w:type="dxa"/>
          <w:shd w:val="clear" w:color="auto" w:fill="auto"/>
          <w:vAlign w:val="bottom"/>
        </w:tcPr>
        <w:p w14:paraId="254A8812" w14:textId="77777777" w:rsidR="002206A7" w:rsidRDefault="002206A7" w:rsidP="002206A7">
          <w:pPr>
            <w:pStyle w:val="Header"/>
          </w:pPr>
        </w:p>
      </w:tc>
      <w:tc>
        <w:tcPr>
          <w:tcW w:w="4923" w:type="dxa"/>
          <w:shd w:val="clear" w:color="auto" w:fill="auto"/>
          <w:vAlign w:val="bottom"/>
        </w:tcPr>
        <w:p w14:paraId="3752ED09" w14:textId="68F13FA8" w:rsidR="002206A7" w:rsidRPr="002206A7" w:rsidRDefault="002206A7" w:rsidP="002206A7">
          <w:pPr>
            <w:pStyle w:val="Header"/>
            <w:spacing w:after="80"/>
            <w:jc w:val="right"/>
            <w:rPr>
              <w:b/>
            </w:rPr>
          </w:pPr>
          <w:r>
            <w:rPr>
              <w:b/>
            </w:rPr>
            <w:fldChar w:fldCharType="begin"/>
          </w:r>
          <w:r>
            <w:rPr>
              <w:b/>
            </w:rPr>
            <w:instrText xml:space="preserve"> DOCVARIABLE "sss1" \* MERGEFORMAT </w:instrText>
          </w:r>
          <w:r>
            <w:rPr>
              <w:b/>
            </w:rPr>
            <w:fldChar w:fldCharType="separate"/>
          </w:r>
          <w:r>
            <w:rPr>
              <w:b/>
            </w:rPr>
            <w:t>A/AC.105/L.340</w:t>
          </w:r>
          <w:r>
            <w:rPr>
              <w:b/>
            </w:rPr>
            <w:fldChar w:fldCharType="end"/>
          </w:r>
        </w:p>
      </w:tc>
    </w:tr>
  </w:tbl>
  <w:p w14:paraId="056AEFB3" w14:textId="77777777" w:rsidR="002206A7" w:rsidRPr="002206A7" w:rsidRDefault="002206A7" w:rsidP="00220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00"/>
      <w:gridCol w:w="11"/>
    </w:tblGrid>
    <w:tr w:rsidR="002206A7" w14:paraId="4DCA5322" w14:textId="77777777" w:rsidTr="002206A7">
      <w:trPr>
        <w:trHeight w:hRule="exact" w:val="864"/>
      </w:trPr>
      <w:tc>
        <w:tcPr>
          <w:tcW w:w="1267" w:type="dxa"/>
          <w:tcBorders>
            <w:bottom w:val="single" w:sz="4" w:space="0" w:color="auto"/>
          </w:tcBorders>
          <w:shd w:val="clear" w:color="auto" w:fill="auto"/>
          <w:vAlign w:val="bottom"/>
        </w:tcPr>
        <w:p w14:paraId="49F6D9C4" w14:textId="77777777" w:rsidR="002206A7" w:rsidRDefault="002206A7" w:rsidP="002206A7">
          <w:pPr>
            <w:pStyle w:val="Header"/>
            <w:spacing w:after="120"/>
          </w:pPr>
        </w:p>
      </w:tc>
      <w:tc>
        <w:tcPr>
          <w:tcW w:w="1872" w:type="dxa"/>
          <w:tcBorders>
            <w:bottom w:val="single" w:sz="4" w:space="0" w:color="auto"/>
          </w:tcBorders>
          <w:shd w:val="clear" w:color="auto" w:fill="auto"/>
          <w:vAlign w:val="bottom"/>
        </w:tcPr>
        <w:p w14:paraId="1E0D1E9B" w14:textId="0E763E00" w:rsidR="002206A7" w:rsidRPr="002206A7" w:rsidRDefault="002206A7" w:rsidP="002206A7">
          <w:pPr>
            <w:pStyle w:val="HCh"/>
            <w:spacing w:after="80" w:line="240" w:lineRule="auto"/>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785BE816" w14:textId="77777777" w:rsidR="002206A7" w:rsidRDefault="002206A7" w:rsidP="002206A7">
          <w:pPr>
            <w:pStyle w:val="Header"/>
            <w:spacing w:after="120"/>
          </w:pPr>
        </w:p>
      </w:tc>
      <w:tc>
        <w:tcPr>
          <w:tcW w:w="6466" w:type="dxa"/>
          <w:gridSpan w:val="4"/>
          <w:tcBorders>
            <w:bottom w:val="single" w:sz="4" w:space="0" w:color="auto"/>
          </w:tcBorders>
          <w:shd w:val="clear" w:color="auto" w:fill="auto"/>
          <w:vAlign w:val="bottom"/>
        </w:tcPr>
        <w:p w14:paraId="78E394A4" w14:textId="3C159608" w:rsidR="002206A7" w:rsidRPr="002206A7" w:rsidRDefault="002206A7" w:rsidP="002206A7">
          <w:pPr>
            <w:spacing w:after="80" w:line="240" w:lineRule="auto"/>
            <w:jc w:val="right"/>
            <w:rPr>
              <w:position w:val="-4"/>
            </w:rPr>
          </w:pPr>
          <w:r>
            <w:rPr>
              <w:position w:val="-4"/>
              <w:sz w:val="40"/>
            </w:rPr>
            <w:t>A</w:t>
          </w:r>
          <w:r>
            <w:rPr>
              <w:position w:val="-4"/>
            </w:rPr>
            <w:t>/AC.105/L.340</w:t>
          </w:r>
        </w:p>
      </w:tc>
    </w:tr>
    <w:tr w:rsidR="002206A7" w:rsidRPr="002206A7" w14:paraId="69F59C33" w14:textId="77777777" w:rsidTr="002206A7">
      <w:trPr>
        <w:gridAfter w:val="1"/>
        <w:wAfter w:w="11" w:type="dxa"/>
        <w:trHeight w:hRule="exact" w:val="2880"/>
      </w:trPr>
      <w:tc>
        <w:tcPr>
          <w:tcW w:w="1267" w:type="dxa"/>
          <w:tcBorders>
            <w:top w:val="single" w:sz="4" w:space="0" w:color="auto"/>
            <w:bottom w:val="single" w:sz="12" w:space="0" w:color="auto"/>
          </w:tcBorders>
          <w:shd w:val="clear" w:color="auto" w:fill="auto"/>
        </w:tcPr>
        <w:p w14:paraId="65E42D6B" w14:textId="4A6AAF84" w:rsidR="002206A7" w:rsidRPr="002206A7" w:rsidRDefault="002206A7" w:rsidP="002206A7">
          <w:pPr>
            <w:pStyle w:val="Header"/>
            <w:spacing w:before="120"/>
            <w:jc w:val="center"/>
          </w:pPr>
          <w:r>
            <w:t xml:space="preserve"> </w:t>
          </w:r>
          <w:r>
            <w:drawing>
              <wp:inline distT="0" distB="0" distL="0" distR="0" wp14:anchorId="79DC33E4" wp14:editId="5410B1B3">
                <wp:extent cx="713232" cy="597103"/>
                <wp:effectExtent l="0" t="0" r="0" b="0"/>
                <wp:docPr id="631543115" name="Picture 1"/>
                <wp:cNvGraphicFramePr/>
                <a:graphic xmlns:a="http://schemas.openxmlformats.org/drawingml/2006/main">
                  <a:graphicData uri="http://schemas.openxmlformats.org/drawingml/2006/picture">
                    <pic:pic xmlns:pic="http://schemas.openxmlformats.org/drawingml/2006/picture">
                      <pic:nvPicPr>
                        <pic:cNvPr id="631543115"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7DAF5B8D" w14:textId="1F7DFCB7" w:rsidR="002206A7" w:rsidRPr="002206A7" w:rsidRDefault="002206A7" w:rsidP="002206A7">
          <w:pPr>
            <w:pStyle w:val="XLarge"/>
            <w:spacing w:before="109" w:line="390" w:lineRule="atLeast"/>
          </w:pPr>
          <w:r>
            <w:t>General Assembly</w:t>
          </w:r>
        </w:p>
      </w:tc>
      <w:tc>
        <w:tcPr>
          <w:tcW w:w="245" w:type="dxa"/>
          <w:tcBorders>
            <w:top w:val="single" w:sz="4" w:space="0" w:color="auto"/>
            <w:bottom w:val="single" w:sz="12" w:space="0" w:color="auto"/>
          </w:tcBorders>
          <w:shd w:val="clear" w:color="auto" w:fill="auto"/>
        </w:tcPr>
        <w:p w14:paraId="4B582FD3" w14:textId="77777777" w:rsidR="002206A7" w:rsidRPr="002206A7" w:rsidRDefault="002206A7" w:rsidP="002206A7">
          <w:pPr>
            <w:pStyle w:val="Header"/>
            <w:spacing w:before="109"/>
          </w:pPr>
        </w:p>
      </w:tc>
      <w:tc>
        <w:tcPr>
          <w:tcW w:w="3100" w:type="dxa"/>
          <w:tcBorders>
            <w:top w:val="single" w:sz="4" w:space="0" w:color="auto"/>
            <w:bottom w:val="single" w:sz="12" w:space="0" w:color="auto"/>
          </w:tcBorders>
          <w:shd w:val="clear" w:color="auto" w:fill="auto"/>
        </w:tcPr>
        <w:p w14:paraId="7C5596F5" w14:textId="77777777" w:rsidR="002206A7" w:rsidRDefault="002206A7" w:rsidP="002206A7">
          <w:pPr>
            <w:pStyle w:val="Distribution"/>
            <w:rPr>
              <w:color w:val="010000"/>
            </w:rPr>
          </w:pPr>
          <w:r>
            <w:rPr>
              <w:color w:val="010000"/>
            </w:rPr>
            <w:t>Distr.: Limited</w:t>
          </w:r>
        </w:p>
        <w:p w14:paraId="70B4D9C4" w14:textId="77777777" w:rsidR="002206A7" w:rsidRDefault="002206A7" w:rsidP="002206A7">
          <w:pPr>
            <w:pStyle w:val="Publication"/>
            <w:rPr>
              <w:color w:val="010000"/>
            </w:rPr>
          </w:pPr>
          <w:r>
            <w:rPr>
              <w:color w:val="010000"/>
            </w:rPr>
            <w:t>26 June 2025</w:t>
          </w:r>
        </w:p>
        <w:p w14:paraId="2CEDEA2F" w14:textId="77777777" w:rsidR="002206A7" w:rsidRDefault="002206A7" w:rsidP="002206A7"/>
        <w:p w14:paraId="3AF667FF" w14:textId="77777777" w:rsidR="002206A7" w:rsidRDefault="002206A7" w:rsidP="002206A7">
          <w:pPr>
            <w:pStyle w:val="Original"/>
            <w:rPr>
              <w:color w:val="010000"/>
            </w:rPr>
          </w:pPr>
          <w:r>
            <w:rPr>
              <w:color w:val="010000"/>
            </w:rPr>
            <w:t>Original: English</w:t>
          </w:r>
        </w:p>
        <w:p w14:paraId="112F9862" w14:textId="630AC7A4" w:rsidR="002206A7" w:rsidRPr="002206A7" w:rsidRDefault="002206A7" w:rsidP="002206A7"/>
      </w:tc>
    </w:tr>
  </w:tbl>
  <w:p w14:paraId="7C3DF23B" w14:textId="77777777" w:rsidR="002206A7" w:rsidRPr="002206A7" w:rsidRDefault="002206A7" w:rsidP="002206A7">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E03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3B45F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696AA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F90FBFC"/>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A6660E90"/>
    <w:lvl w:ilvl="0">
      <w:start w:val="1"/>
      <w:numFmt w:val="decimal"/>
      <w:pStyle w:val="ListNumber"/>
      <w:lvlText w:val="%1."/>
      <w:lvlJc w:val="left"/>
      <w:pPr>
        <w:tabs>
          <w:tab w:val="num" w:pos="360"/>
        </w:tabs>
        <w:ind w:left="360" w:hanging="360"/>
      </w:pPr>
    </w:lvl>
  </w:abstractNum>
  <w:abstractNum w:abstractNumId="5" w15:restartNumberingAfterBreak="0">
    <w:nsid w:val="0C1C38DC"/>
    <w:multiLevelType w:val="hybridMultilevel"/>
    <w:tmpl w:val="FCEC8568"/>
    <w:lvl w:ilvl="0" w:tplc="63DEC14C">
      <w:start w:val="1"/>
      <w:numFmt w:val="decimal"/>
      <w:lvlText w:val="%1."/>
      <w:lvlJc w:val="left"/>
      <w:pPr>
        <w:ind w:left="1747" w:hanging="480"/>
      </w:pPr>
      <w:rPr>
        <w:rFonts w:hint="default"/>
        <w:w w:val="100"/>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6" w15:restartNumberingAfterBreak="0">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7" w15:restartNumberingAfterBreak="0">
    <w:nsid w:val="35314EFB"/>
    <w:multiLevelType w:val="singleLevel"/>
    <w:tmpl w:val="EA429D2A"/>
    <w:lvl w:ilvl="0">
      <w:start w:val="1"/>
      <w:numFmt w:val="decimal"/>
      <w:lvlRestart w:val="0"/>
      <w:lvlText w:val="%1."/>
      <w:lvlJc w:val="left"/>
      <w:pPr>
        <w:ind w:left="0" w:firstLine="0"/>
      </w:pPr>
      <w:rPr>
        <w:spacing w:val="0"/>
        <w:w w:val="100"/>
      </w:rPr>
    </w:lvl>
  </w:abstractNum>
  <w:abstractNum w:abstractNumId="8"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9" w15:restartNumberingAfterBreak="0">
    <w:nsid w:val="44E42048"/>
    <w:multiLevelType w:val="hybridMultilevel"/>
    <w:tmpl w:val="7DF806B6"/>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26514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2" w15:restartNumberingAfterBreak="0">
    <w:nsid w:val="51376339"/>
    <w:multiLevelType w:val="hybridMultilevel"/>
    <w:tmpl w:val="BF64E6CC"/>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3" w15:restartNumberingAfterBreak="0">
    <w:nsid w:val="62022005"/>
    <w:multiLevelType w:val="hybridMultilevel"/>
    <w:tmpl w:val="33C2FB06"/>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4"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16cid:durableId="1420907156">
    <w:abstractNumId w:val="9"/>
  </w:num>
  <w:num w:numId="2" w16cid:durableId="1926570458">
    <w:abstractNumId w:val="4"/>
  </w:num>
  <w:num w:numId="3" w16cid:durableId="331371891">
    <w:abstractNumId w:val="3"/>
  </w:num>
  <w:num w:numId="4" w16cid:durableId="1460761738">
    <w:abstractNumId w:val="2"/>
  </w:num>
  <w:num w:numId="5" w16cid:durableId="1528719216">
    <w:abstractNumId w:val="1"/>
  </w:num>
  <w:num w:numId="6" w16cid:durableId="745079833">
    <w:abstractNumId w:val="0"/>
  </w:num>
  <w:num w:numId="7" w16cid:durableId="1498964092">
    <w:abstractNumId w:val="13"/>
  </w:num>
  <w:num w:numId="8" w16cid:durableId="757406347">
    <w:abstractNumId w:val="6"/>
  </w:num>
  <w:num w:numId="9" w16cid:durableId="145245836">
    <w:abstractNumId w:val="12"/>
  </w:num>
  <w:num w:numId="10" w16cid:durableId="1216699067">
    <w:abstractNumId w:val="11"/>
  </w:num>
  <w:num w:numId="11" w16cid:durableId="150602558">
    <w:abstractNumId w:val="10"/>
  </w:num>
  <w:num w:numId="12" w16cid:durableId="443237224">
    <w:abstractNumId w:val="13"/>
  </w:num>
  <w:num w:numId="13" w16cid:durableId="505362770">
    <w:abstractNumId w:val="6"/>
  </w:num>
  <w:num w:numId="14" w16cid:durableId="902253710">
    <w:abstractNumId w:val="12"/>
  </w:num>
  <w:num w:numId="15" w16cid:durableId="739788438">
    <w:abstractNumId w:val="10"/>
  </w:num>
  <w:num w:numId="16" w16cid:durableId="1751390935">
    <w:abstractNumId w:val="10"/>
  </w:num>
  <w:num w:numId="17" w16cid:durableId="1820413208">
    <w:abstractNumId w:val="10"/>
  </w:num>
  <w:num w:numId="18" w16cid:durableId="704212184">
    <w:abstractNumId w:val="10"/>
  </w:num>
  <w:num w:numId="19" w16cid:durableId="1386370540">
    <w:abstractNumId w:val="10"/>
  </w:num>
  <w:num w:numId="20" w16cid:durableId="195434613">
    <w:abstractNumId w:val="10"/>
  </w:num>
  <w:num w:numId="21" w16cid:durableId="1132750204">
    <w:abstractNumId w:val="10"/>
  </w:num>
  <w:num w:numId="22" w16cid:durableId="726536346">
    <w:abstractNumId w:val="10"/>
  </w:num>
  <w:num w:numId="23" w16cid:durableId="52386949">
    <w:abstractNumId w:val="10"/>
  </w:num>
  <w:num w:numId="24" w16cid:durableId="1414357132">
    <w:abstractNumId w:val="11"/>
  </w:num>
  <w:num w:numId="25" w16cid:durableId="542520565">
    <w:abstractNumId w:val="10"/>
  </w:num>
  <w:num w:numId="26" w16cid:durableId="473720461">
    <w:abstractNumId w:val="14"/>
  </w:num>
  <w:num w:numId="27" w16cid:durableId="92671130">
    <w:abstractNumId w:val="8"/>
  </w:num>
  <w:num w:numId="28" w16cid:durableId="920604195">
    <w:abstractNumId w:val="14"/>
  </w:num>
  <w:num w:numId="29" w16cid:durableId="1601254480">
    <w:abstractNumId w:val="8"/>
  </w:num>
  <w:num w:numId="30" w16cid:durableId="1540051366">
    <w:abstractNumId w:val="14"/>
  </w:num>
  <w:num w:numId="31" w16cid:durableId="134759388">
    <w:abstractNumId w:val="8"/>
  </w:num>
  <w:num w:numId="32" w16cid:durableId="1049649776">
    <w:abstractNumId w:val="14"/>
  </w:num>
  <w:num w:numId="33" w16cid:durableId="615404675">
    <w:abstractNumId w:val="8"/>
  </w:num>
  <w:num w:numId="34" w16cid:durableId="1358458813">
    <w:abstractNumId w:val="14"/>
  </w:num>
  <w:num w:numId="35" w16cid:durableId="1771393154">
    <w:abstractNumId w:val="8"/>
  </w:num>
  <w:num w:numId="36" w16cid:durableId="28990107">
    <w:abstractNumId w:val="5"/>
  </w:num>
  <w:num w:numId="37" w16cid:durableId="853150344">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rt">
    <w15:presenceInfo w15:providerId="None" w15:userId="St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476"/>
  <w:doNotHyphenateCaps/>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510404*"/>
    <w:docVar w:name="CreationDt" w:val="27/06/2025 09:05:31"/>
    <w:docVar w:name="DocCategory" w:val="Doc"/>
    <w:docVar w:name="DocType" w:val="Final"/>
    <w:docVar w:name="DutyStation" w:val="Vienna"/>
    <w:docVar w:name="FooterJN" w:val="V.25-10404"/>
    <w:docVar w:name="jobn" w:val="V.25-10404 (E)"/>
    <w:docVar w:name="jobnDT" w:val="V.25-10404 (E)   270625"/>
    <w:docVar w:name="jobnDTDT" w:val="V.25-10404 (E)   270625   270625"/>
    <w:docVar w:name="JobNo" w:val="V.2510404E"/>
    <w:docVar w:name="JobNo2" w:val="2504592E"/>
    <w:docVar w:name="LocalDrive" w:val="-1"/>
    <w:docVar w:name="OandT" w:val=" "/>
    <w:docVar w:name="sss1" w:val="A/AC.105/L.340"/>
    <w:docVar w:name="sss2" w:val="-"/>
    <w:docVar w:name="Symbol1" w:val="A/AC.105/L.340"/>
    <w:docVar w:name="Symbol2" w:val="-"/>
  </w:docVars>
  <w:rsids>
    <w:rsidRoot w:val="00450845"/>
    <w:rsid w:val="00000121"/>
    <w:rsid w:val="00001169"/>
    <w:rsid w:val="00096FB7"/>
    <w:rsid w:val="000F35C9"/>
    <w:rsid w:val="00101B6D"/>
    <w:rsid w:val="00105D3E"/>
    <w:rsid w:val="001167DA"/>
    <w:rsid w:val="0013302C"/>
    <w:rsid w:val="001804D1"/>
    <w:rsid w:val="002206A7"/>
    <w:rsid w:val="00225730"/>
    <w:rsid w:val="002308E1"/>
    <w:rsid w:val="00241C3F"/>
    <w:rsid w:val="00244EBF"/>
    <w:rsid w:val="00247400"/>
    <w:rsid w:val="002B31EC"/>
    <w:rsid w:val="00331D20"/>
    <w:rsid w:val="00361DD3"/>
    <w:rsid w:val="00365FD7"/>
    <w:rsid w:val="003867C4"/>
    <w:rsid w:val="00394496"/>
    <w:rsid w:val="00397548"/>
    <w:rsid w:val="003A6968"/>
    <w:rsid w:val="003B5278"/>
    <w:rsid w:val="003E6508"/>
    <w:rsid w:val="00436A96"/>
    <w:rsid w:val="00450845"/>
    <w:rsid w:val="0046241A"/>
    <w:rsid w:val="004776F7"/>
    <w:rsid w:val="0049212A"/>
    <w:rsid w:val="00495E7B"/>
    <w:rsid w:val="0049669D"/>
    <w:rsid w:val="004C7753"/>
    <w:rsid w:val="004F5722"/>
    <w:rsid w:val="0054211F"/>
    <w:rsid w:val="005610B1"/>
    <w:rsid w:val="00570E1E"/>
    <w:rsid w:val="005A3F55"/>
    <w:rsid w:val="005A6C9F"/>
    <w:rsid w:val="005B1A4E"/>
    <w:rsid w:val="005E5E89"/>
    <w:rsid w:val="0069304B"/>
    <w:rsid w:val="00695B0C"/>
    <w:rsid w:val="00706F49"/>
    <w:rsid w:val="00741DFC"/>
    <w:rsid w:val="007571A3"/>
    <w:rsid w:val="0077695C"/>
    <w:rsid w:val="008138CB"/>
    <w:rsid w:val="00863195"/>
    <w:rsid w:val="00877270"/>
    <w:rsid w:val="008841B4"/>
    <w:rsid w:val="008B1604"/>
    <w:rsid w:val="008B18B8"/>
    <w:rsid w:val="008D7389"/>
    <w:rsid w:val="008F303F"/>
    <w:rsid w:val="009049CD"/>
    <w:rsid w:val="00913AB0"/>
    <w:rsid w:val="0097093B"/>
    <w:rsid w:val="00984E82"/>
    <w:rsid w:val="009C5632"/>
    <w:rsid w:val="009D56BA"/>
    <w:rsid w:val="00A00AF7"/>
    <w:rsid w:val="00A32790"/>
    <w:rsid w:val="00A75455"/>
    <w:rsid w:val="00A96458"/>
    <w:rsid w:val="00AA29EE"/>
    <w:rsid w:val="00AF0F6E"/>
    <w:rsid w:val="00B00A87"/>
    <w:rsid w:val="00B06285"/>
    <w:rsid w:val="00B10DD3"/>
    <w:rsid w:val="00B27698"/>
    <w:rsid w:val="00B51879"/>
    <w:rsid w:val="00B7741A"/>
    <w:rsid w:val="00B901FD"/>
    <w:rsid w:val="00B96FDE"/>
    <w:rsid w:val="00BB6AE3"/>
    <w:rsid w:val="00BC2C8A"/>
    <w:rsid w:val="00BF38C1"/>
    <w:rsid w:val="00C46199"/>
    <w:rsid w:val="00C4776A"/>
    <w:rsid w:val="00CA0C37"/>
    <w:rsid w:val="00CA145D"/>
    <w:rsid w:val="00CC2D86"/>
    <w:rsid w:val="00CF1820"/>
    <w:rsid w:val="00D23FFB"/>
    <w:rsid w:val="00D409D0"/>
    <w:rsid w:val="00D91A05"/>
    <w:rsid w:val="00DB0712"/>
    <w:rsid w:val="00E26243"/>
    <w:rsid w:val="00E377D1"/>
    <w:rsid w:val="00E4180F"/>
    <w:rsid w:val="00E548DF"/>
    <w:rsid w:val="00E8036E"/>
    <w:rsid w:val="00E864DA"/>
    <w:rsid w:val="00E96FCF"/>
    <w:rsid w:val="00EA1709"/>
    <w:rsid w:val="00EB3DA9"/>
    <w:rsid w:val="00EC30AF"/>
    <w:rsid w:val="00EC7936"/>
    <w:rsid w:val="00ED5C77"/>
    <w:rsid w:val="00EF17CC"/>
    <w:rsid w:val="00EF2580"/>
    <w:rsid w:val="00EF477F"/>
    <w:rsid w:val="00F04D34"/>
    <w:rsid w:val="00F95E56"/>
    <w:rsid w:val="00FD3CCD"/>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72F17"/>
  <w15:chartTrackingRefBased/>
  <w15:docId w15:val="{B415DB19-5552-4835-B083-86DBB9CF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1B4"/>
    <w:pPr>
      <w:suppressAutoHyphens/>
      <w:spacing w:after="0" w:line="240" w:lineRule="atLeast"/>
    </w:pPr>
    <w:rPr>
      <w:rFonts w:ascii="Times New Roman" w:eastAsiaTheme="minorHAnsi" w:hAnsi="Times New Roman" w:cs="Times New Roman"/>
      <w:spacing w:val="4"/>
      <w:w w:val="103"/>
      <w:kern w:val="14"/>
      <w:sz w:val="20"/>
      <w:szCs w:val="20"/>
      <w:lang w:val="en-GB" w:eastAsia="en-US"/>
    </w:rPr>
  </w:style>
  <w:style w:type="paragraph" w:styleId="Heading1">
    <w:name w:val="heading 1"/>
    <w:basedOn w:val="Normal"/>
    <w:next w:val="Normal"/>
    <w:link w:val="Heading1Char"/>
    <w:uiPriority w:val="9"/>
    <w:qFormat/>
    <w:rsid w:val="00495E7B"/>
    <w:pPr>
      <w:keepNext/>
      <w:numPr>
        <w:numId w:val="25"/>
      </w:numPr>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495E7B"/>
    <w:pPr>
      <w:keepNext/>
      <w:numPr>
        <w:ilvl w:val="1"/>
        <w:numId w:val="25"/>
      </w:numPr>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495E7B"/>
    <w:pPr>
      <w:keepNext/>
      <w:numPr>
        <w:ilvl w:val="2"/>
        <w:numId w:val="25"/>
      </w:numPr>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unhideWhenUsed/>
    <w:qFormat/>
    <w:rsid w:val="00495E7B"/>
    <w:pPr>
      <w:numPr>
        <w:ilvl w:val="3"/>
        <w:numId w:val="25"/>
      </w:num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495E7B"/>
    <w:pPr>
      <w:numPr>
        <w:ilvl w:val="4"/>
        <w:numId w:val="25"/>
      </w:num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495E7B"/>
    <w:pPr>
      <w:numPr>
        <w:ilvl w:val="5"/>
        <w:numId w:val="25"/>
      </w:num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95E7B"/>
    <w:pPr>
      <w:numPr>
        <w:ilvl w:val="6"/>
        <w:numId w:val="25"/>
      </w:num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95E7B"/>
    <w:pPr>
      <w:numPr>
        <w:ilvl w:val="7"/>
        <w:numId w:val="25"/>
      </w:num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495E7B"/>
    <w:pPr>
      <w:numPr>
        <w:ilvl w:val="8"/>
        <w:numId w:val="25"/>
      </w:num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841B4"/>
    <w:pPr>
      <w:tabs>
        <w:tab w:val="center" w:pos="4320"/>
        <w:tab w:val="right" w:pos="8640"/>
      </w:tabs>
      <w:spacing w:after="0" w:line="240" w:lineRule="auto"/>
    </w:pPr>
    <w:rPr>
      <w:rFonts w:ascii="Times New Roman" w:eastAsiaTheme="minorHAnsi" w:hAnsi="Times New Roman" w:cs="Times New Roman"/>
      <w:noProof/>
      <w:sz w:val="17"/>
      <w:szCs w:val="20"/>
      <w:lang w:eastAsia="en-US"/>
    </w:rPr>
  </w:style>
  <w:style w:type="character" w:customStyle="1" w:styleId="HeaderChar">
    <w:name w:val="Header Char"/>
    <w:basedOn w:val="DefaultParagraphFont"/>
    <w:link w:val="Header"/>
    <w:rsid w:val="008841B4"/>
    <w:rPr>
      <w:rFonts w:ascii="Times New Roman" w:eastAsiaTheme="minorHAnsi" w:hAnsi="Times New Roman" w:cs="Times New Roman"/>
      <w:noProof/>
      <w:sz w:val="17"/>
      <w:szCs w:val="20"/>
      <w:lang w:eastAsia="en-US"/>
    </w:rPr>
  </w:style>
  <w:style w:type="paragraph" w:styleId="Footer">
    <w:name w:val="footer"/>
    <w:link w:val="FooterChar"/>
    <w:rsid w:val="008841B4"/>
    <w:pPr>
      <w:tabs>
        <w:tab w:val="center" w:pos="4320"/>
        <w:tab w:val="right" w:pos="8640"/>
      </w:tabs>
      <w:spacing w:after="0" w:line="240" w:lineRule="auto"/>
    </w:pPr>
    <w:rPr>
      <w:rFonts w:ascii="Times New Roman" w:eastAsiaTheme="minorHAnsi" w:hAnsi="Times New Roman" w:cs="Times New Roman"/>
      <w:b/>
      <w:noProof/>
      <w:sz w:val="17"/>
      <w:szCs w:val="20"/>
      <w:lang w:eastAsia="en-US"/>
    </w:rPr>
  </w:style>
  <w:style w:type="character" w:customStyle="1" w:styleId="FooterChar">
    <w:name w:val="Footer Char"/>
    <w:basedOn w:val="DefaultParagraphFont"/>
    <w:link w:val="Footer"/>
    <w:rsid w:val="008841B4"/>
    <w:rPr>
      <w:rFonts w:ascii="Times New Roman" w:eastAsiaTheme="minorHAnsi" w:hAnsi="Times New Roman" w:cs="Times New Roman"/>
      <w:b/>
      <w:noProof/>
      <w:sz w:val="17"/>
      <w:szCs w:val="20"/>
      <w:lang w:eastAsia="en-US"/>
    </w:rPr>
  </w:style>
  <w:style w:type="paragraph" w:customStyle="1" w:styleId="HM">
    <w:name w:val="_ H __M"/>
    <w:basedOn w:val="HCh"/>
    <w:next w:val="Normal"/>
    <w:rsid w:val="008841B4"/>
    <w:pPr>
      <w:spacing w:line="360" w:lineRule="exact"/>
    </w:pPr>
    <w:rPr>
      <w:spacing w:val="-3"/>
      <w:w w:val="99"/>
      <w:sz w:val="34"/>
    </w:rPr>
  </w:style>
  <w:style w:type="paragraph" w:customStyle="1" w:styleId="H1">
    <w:name w:val="_ H_1"/>
    <w:basedOn w:val="Normal"/>
    <w:next w:val="SingleTxt"/>
    <w:rsid w:val="008841B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4" w:right="1259" w:hanging="1264"/>
      <w:outlineLvl w:val="0"/>
    </w:pPr>
    <w:rPr>
      <w:b/>
      <w:sz w:val="24"/>
    </w:rPr>
  </w:style>
  <w:style w:type="paragraph" w:customStyle="1" w:styleId="HCh">
    <w:name w:val="_ H _Ch"/>
    <w:basedOn w:val="H1"/>
    <w:next w:val="SingleTxt"/>
    <w:rsid w:val="008841B4"/>
    <w:pPr>
      <w:spacing w:line="300" w:lineRule="exact"/>
      <w:ind w:left="0" w:right="0" w:firstLine="0"/>
    </w:pPr>
    <w:rPr>
      <w:spacing w:val="-2"/>
      <w:sz w:val="28"/>
    </w:rPr>
  </w:style>
  <w:style w:type="paragraph" w:customStyle="1" w:styleId="H23">
    <w:name w:val="_ H_2/3"/>
    <w:basedOn w:val="H1"/>
    <w:next w:val="SingleTxt"/>
    <w:rsid w:val="008841B4"/>
    <w:pPr>
      <w:spacing w:line="240" w:lineRule="exact"/>
      <w:outlineLvl w:val="1"/>
    </w:pPr>
    <w:rPr>
      <w:spacing w:val="2"/>
      <w:sz w:val="20"/>
    </w:rPr>
  </w:style>
  <w:style w:type="paragraph" w:customStyle="1" w:styleId="H4">
    <w:name w:val="_ H_4"/>
    <w:basedOn w:val="Normal"/>
    <w:next w:val="Normal"/>
    <w:rsid w:val="008841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4" w:hanging="1264"/>
      <w:outlineLvl w:val="3"/>
    </w:pPr>
    <w:rPr>
      <w:i/>
      <w:spacing w:val="3"/>
    </w:rPr>
  </w:style>
  <w:style w:type="paragraph" w:customStyle="1" w:styleId="H56">
    <w:name w:val="_ H_5/6"/>
    <w:basedOn w:val="Normal"/>
    <w:next w:val="Normal"/>
    <w:rsid w:val="008841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4" w:hanging="1264"/>
      <w:outlineLvl w:val="4"/>
    </w:pPr>
  </w:style>
  <w:style w:type="paragraph" w:customStyle="1" w:styleId="DualTxt">
    <w:name w:val="__Dual Txt"/>
    <w:basedOn w:val="Normal"/>
    <w:rsid w:val="008841B4"/>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8841B4"/>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8841B4"/>
    <w:pPr>
      <w:spacing w:line="540" w:lineRule="exact"/>
    </w:pPr>
    <w:rPr>
      <w:spacing w:val="-8"/>
      <w:w w:val="96"/>
      <w:sz w:val="57"/>
    </w:rPr>
  </w:style>
  <w:style w:type="paragraph" w:customStyle="1" w:styleId="SS">
    <w:name w:val="__S_S"/>
    <w:basedOn w:val="HCh"/>
    <w:next w:val="Normal"/>
    <w:rsid w:val="008841B4"/>
    <w:pPr>
      <w:ind w:left="1267" w:right="1267"/>
    </w:pPr>
  </w:style>
  <w:style w:type="paragraph" w:customStyle="1" w:styleId="SingleTxt">
    <w:name w:val="__Single Txt"/>
    <w:basedOn w:val="Normal"/>
    <w:link w:val="SingleTxtChar"/>
    <w:rsid w:val="008841B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4" w:right="1264"/>
      <w:jc w:val="both"/>
    </w:pPr>
  </w:style>
  <w:style w:type="paragraph" w:customStyle="1" w:styleId="AgendaItemNormal">
    <w:name w:val="Agenda_Item_Normal"/>
    <w:next w:val="Normal"/>
    <w:qFormat/>
    <w:rsid w:val="008841B4"/>
    <w:pPr>
      <w:spacing w:after="0" w:line="240" w:lineRule="auto"/>
    </w:pPr>
    <w:rPr>
      <w:rFonts w:ascii="Times New Roman" w:eastAsiaTheme="minorHAnsi" w:hAnsi="Times New Roman" w:cs="Times New Roman"/>
      <w:spacing w:val="4"/>
      <w:w w:val="103"/>
      <w:kern w:val="14"/>
      <w:sz w:val="20"/>
      <w:szCs w:val="20"/>
      <w:lang w:val="en-GB" w:eastAsia="en-US"/>
    </w:rPr>
  </w:style>
  <w:style w:type="paragraph" w:customStyle="1" w:styleId="TitleH1">
    <w:name w:val="Title_H1"/>
    <w:basedOn w:val="H1"/>
    <w:next w:val="SingleTxt"/>
    <w:qFormat/>
    <w:rsid w:val="008841B4"/>
  </w:style>
  <w:style w:type="paragraph" w:customStyle="1" w:styleId="AgendaTitleH2">
    <w:name w:val="Agenda_Title_H2"/>
    <w:basedOn w:val="TitleH1"/>
    <w:next w:val="Normal"/>
    <w:qFormat/>
    <w:rsid w:val="008841B4"/>
    <w:pPr>
      <w:keepNext/>
      <w:keepLines/>
      <w:spacing w:line="240" w:lineRule="exact"/>
      <w:ind w:left="0" w:firstLine="0"/>
      <w:outlineLvl w:val="1"/>
    </w:pPr>
    <w:rPr>
      <w:sz w:val="20"/>
    </w:rPr>
  </w:style>
  <w:style w:type="paragraph" w:customStyle="1" w:styleId="Bullet1">
    <w:name w:val="Bullet 1"/>
    <w:basedOn w:val="Normal"/>
    <w:qFormat/>
    <w:rsid w:val="008841B4"/>
    <w:pPr>
      <w:numPr>
        <w:numId w:val="34"/>
      </w:numPr>
      <w:spacing w:after="120"/>
      <w:ind w:right="1267"/>
      <w:jc w:val="both"/>
    </w:pPr>
  </w:style>
  <w:style w:type="paragraph" w:customStyle="1" w:styleId="Bullet2">
    <w:name w:val="Bullet 2"/>
    <w:basedOn w:val="Normal"/>
    <w:qFormat/>
    <w:rsid w:val="00495E7B"/>
    <w:pPr>
      <w:numPr>
        <w:numId w:val="13"/>
      </w:numPr>
      <w:spacing w:after="120"/>
      <w:ind w:right="1264"/>
      <w:jc w:val="both"/>
    </w:pPr>
  </w:style>
  <w:style w:type="paragraph" w:customStyle="1" w:styleId="Bullet3">
    <w:name w:val="Bullet 3"/>
    <w:basedOn w:val="SingleTxt"/>
    <w:qFormat/>
    <w:rsid w:val="008841B4"/>
    <w:pPr>
      <w:numPr>
        <w:numId w:val="3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rsid w:val="008841B4"/>
    <w:pPr>
      <w:spacing w:before="240" w:after="0" w:line="240" w:lineRule="auto"/>
    </w:pPr>
    <w:rPr>
      <w:rFonts w:ascii="Times New Roman" w:eastAsiaTheme="minorHAnsi" w:hAnsi="Times New Roman" w:cs="Times New Roman"/>
      <w:spacing w:val="4"/>
      <w:w w:val="103"/>
      <w:kern w:val="14"/>
      <w:sz w:val="20"/>
      <w:szCs w:val="20"/>
      <w:lang w:val="en-GB" w:eastAsia="en-US"/>
    </w:rPr>
  </w:style>
  <w:style w:type="character" w:styleId="EndnoteReference">
    <w:name w:val="endnote reference"/>
    <w:semiHidden/>
    <w:rsid w:val="008841B4"/>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FootnoteText"/>
    <w:link w:val="EndnoteTextChar"/>
    <w:semiHidden/>
    <w:rsid w:val="008841B4"/>
  </w:style>
  <w:style w:type="character" w:customStyle="1" w:styleId="EndnoteTextChar">
    <w:name w:val="Endnote Text Char"/>
    <w:basedOn w:val="DefaultParagraphFont"/>
    <w:link w:val="EndnoteText"/>
    <w:semiHidden/>
    <w:rsid w:val="008841B4"/>
    <w:rPr>
      <w:rFonts w:ascii="Times New Roman" w:eastAsiaTheme="minorHAnsi" w:hAnsi="Times New Roman" w:cs="Times New Roman"/>
      <w:spacing w:val="5"/>
      <w:w w:val="103"/>
      <w:kern w:val="14"/>
      <w:sz w:val="17"/>
      <w:szCs w:val="20"/>
      <w:lang w:val="en-GB" w:eastAsia="en-US"/>
    </w:rPr>
  </w:style>
  <w:style w:type="character" w:styleId="FootnoteReference">
    <w:name w:val="footnote reference"/>
    <w:semiHidden/>
    <w:rsid w:val="008841B4"/>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8841B4"/>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8841B4"/>
    <w:rPr>
      <w:rFonts w:ascii="Times New Roman" w:eastAsiaTheme="minorHAnsi" w:hAnsi="Times New Roman" w:cs="Times New Roman"/>
      <w:spacing w:val="5"/>
      <w:w w:val="103"/>
      <w:kern w:val="14"/>
      <w:sz w:val="17"/>
      <w:szCs w:val="20"/>
      <w:lang w:val="en-GB" w:eastAsia="en-US"/>
    </w:rPr>
  </w:style>
  <w:style w:type="character" w:customStyle="1" w:styleId="Heading1Char">
    <w:name w:val="Heading 1 Char"/>
    <w:link w:val="Heading1"/>
    <w:uiPriority w:val="9"/>
    <w:rsid w:val="00495E7B"/>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495E7B"/>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495E7B"/>
    <w:rPr>
      <w:rFonts w:ascii="Arial" w:eastAsia="Times New Roman" w:hAnsi="Arial" w:cs="Times New Roman"/>
      <w:b/>
      <w:bCs/>
      <w:spacing w:val="4"/>
      <w:w w:val="103"/>
      <w:kern w:val="14"/>
      <w:sz w:val="26"/>
      <w:lang w:val="es-ES" w:eastAsia="en-US"/>
    </w:rPr>
  </w:style>
  <w:style w:type="paragraph" w:styleId="ListContinue">
    <w:name w:val="List Continue"/>
    <w:basedOn w:val="Normal"/>
    <w:uiPriority w:val="99"/>
    <w:semiHidden/>
    <w:rsid w:val="009D56BA"/>
    <w:pPr>
      <w:spacing w:after="120"/>
      <w:ind w:left="360"/>
      <w:contextualSpacing/>
    </w:pPr>
    <w:rPr>
      <w:rFonts w:cstheme="minorBidi"/>
      <w:lang w:val="ru-RU"/>
    </w:rPr>
  </w:style>
  <w:style w:type="paragraph" w:styleId="ListContinue2">
    <w:name w:val="List Continue 2"/>
    <w:basedOn w:val="Normal"/>
    <w:next w:val="Normal"/>
    <w:uiPriority w:val="99"/>
    <w:rsid w:val="009D56BA"/>
    <w:pPr>
      <w:numPr>
        <w:numId w:val="1"/>
      </w:numPr>
      <w:tabs>
        <w:tab w:val="left" w:pos="792"/>
      </w:tabs>
      <w:spacing w:after="120"/>
    </w:pPr>
    <w:rPr>
      <w:rFonts w:cstheme="minorBidi"/>
      <w:lang w:val="ru-RU"/>
    </w:rPr>
  </w:style>
  <w:style w:type="paragraph" w:styleId="ListNumber">
    <w:name w:val="List Number"/>
    <w:basedOn w:val="H1"/>
    <w:next w:val="Normal"/>
    <w:uiPriority w:val="99"/>
    <w:rsid w:val="009D56BA"/>
    <w:pPr>
      <w:numPr>
        <w:numId w:val="2"/>
      </w:numPr>
      <w:contextualSpacing/>
    </w:pPr>
  </w:style>
  <w:style w:type="paragraph" w:styleId="ListNumber2">
    <w:name w:val="List Number 2"/>
    <w:basedOn w:val="H23"/>
    <w:next w:val="Normal"/>
    <w:uiPriority w:val="99"/>
    <w:rsid w:val="009D56BA"/>
    <w:pPr>
      <w:numPr>
        <w:numId w:val="3"/>
      </w:numPr>
      <w:tabs>
        <w:tab w:val="left" w:pos="648"/>
      </w:tabs>
      <w:contextualSpacing/>
    </w:pPr>
  </w:style>
  <w:style w:type="paragraph" w:styleId="ListNumber3">
    <w:name w:val="List Number 3"/>
    <w:basedOn w:val="H23"/>
    <w:next w:val="Normal"/>
    <w:uiPriority w:val="99"/>
    <w:rsid w:val="009D56BA"/>
    <w:pPr>
      <w:numPr>
        <w:numId w:val="4"/>
      </w:numPr>
      <w:tabs>
        <w:tab w:val="left" w:pos="922"/>
      </w:tabs>
      <w:contextualSpacing/>
    </w:pPr>
  </w:style>
  <w:style w:type="paragraph" w:styleId="ListNumber4">
    <w:name w:val="List Number 4"/>
    <w:basedOn w:val="Normal"/>
    <w:uiPriority w:val="99"/>
    <w:rsid w:val="009D56BA"/>
    <w:pPr>
      <w:keepNext/>
      <w:keepLines/>
      <w:numPr>
        <w:numId w:val="5"/>
      </w:numPr>
      <w:tabs>
        <w:tab w:val="left" w:pos="1210"/>
      </w:tabs>
      <w:contextualSpacing/>
      <w:outlineLvl w:val="3"/>
    </w:pPr>
    <w:rPr>
      <w:rFonts w:cstheme="minorBidi"/>
      <w:i/>
      <w:spacing w:val="3"/>
      <w:lang w:val="ru-RU"/>
    </w:rPr>
  </w:style>
  <w:style w:type="paragraph" w:styleId="ListNumber5">
    <w:name w:val="List Number 5"/>
    <w:basedOn w:val="Normal"/>
    <w:next w:val="Normal"/>
    <w:uiPriority w:val="99"/>
    <w:rsid w:val="009D56BA"/>
    <w:pPr>
      <w:numPr>
        <w:numId w:val="6"/>
      </w:numPr>
      <w:tabs>
        <w:tab w:val="left" w:pos="1498"/>
      </w:tabs>
      <w:contextualSpacing/>
    </w:pPr>
    <w:rPr>
      <w:rFonts w:cstheme="minorBidi"/>
      <w:lang w:val="ru-RU"/>
    </w:rPr>
  </w:style>
  <w:style w:type="paragraph" w:styleId="NoSpacing">
    <w:name w:val="No Spacing"/>
    <w:basedOn w:val="Normal"/>
    <w:uiPriority w:val="1"/>
    <w:rsid w:val="00495E7B"/>
    <w:pPr>
      <w:spacing w:line="240" w:lineRule="auto"/>
    </w:pPr>
  </w:style>
  <w:style w:type="paragraph" w:customStyle="1" w:styleId="Original">
    <w:name w:val="Original"/>
    <w:next w:val="Normal"/>
    <w:rsid w:val="008841B4"/>
    <w:pPr>
      <w:spacing w:after="0" w:line="240" w:lineRule="auto"/>
    </w:pPr>
    <w:rPr>
      <w:rFonts w:ascii="Times New Roman" w:eastAsiaTheme="minorHAnsi" w:hAnsi="Times New Roman" w:cs="Times New Roman"/>
      <w:spacing w:val="4"/>
      <w:w w:val="103"/>
      <w:kern w:val="14"/>
      <w:sz w:val="20"/>
      <w:szCs w:val="20"/>
      <w:lang w:val="en-GB" w:eastAsia="en-US"/>
    </w:rPr>
  </w:style>
  <w:style w:type="paragraph" w:customStyle="1" w:styleId="Publication">
    <w:name w:val="Publication"/>
    <w:next w:val="Normal"/>
    <w:rsid w:val="008841B4"/>
    <w:pPr>
      <w:spacing w:after="0" w:line="240" w:lineRule="auto"/>
    </w:pPr>
    <w:rPr>
      <w:rFonts w:ascii="Times New Roman" w:eastAsiaTheme="minorHAnsi" w:hAnsi="Times New Roman" w:cs="Times New Roman"/>
      <w:spacing w:val="4"/>
      <w:w w:val="103"/>
      <w:kern w:val="14"/>
      <w:sz w:val="20"/>
      <w:szCs w:val="20"/>
      <w:lang w:val="en-GB" w:eastAsia="en-US"/>
    </w:rPr>
  </w:style>
  <w:style w:type="paragraph" w:customStyle="1" w:styleId="ReleaseDate">
    <w:name w:val="ReleaseDate"/>
    <w:next w:val="Footer"/>
    <w:autoRedefine/>
    <w:qFormat/>
    <w:rsid w:val="00495E7B"/>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8841B4"/>
    <w:pPr>
      <w:tabs>
        <w:tab w:val="right" w:pos="9965"/>
      </w:tabs>
      <w:spacing w:line="210" w:lineRule="exact"/>
    </w:pPr>
    <w:rPr>
      <w:spacing w:val="5"/>
      <w:w w:val="104"/>
      <w:sz w:val="17"/>
    </w:rPr>
  </w:style>
  <w:style w:type="paragraph" w:customStyle="1" w:styleId="SmallX">
    <w:name w:val="SmallX"/>
    <w:basedOn w:val="Small"/>
    <w:next w:val="Normal"/>
    <w:rsid w:val="008841B4"/>
    <w:pPr>
      <w:spacing w:line="180" w:lineRule="exact"/>
      <w:jc w:val="right"/>
    </w:pPr>
    <w:rPr>
      <w:spacing w:val="6"/>
      <w:w w:val="106"/>
      <w:sz w:val="14"/>
    </w:rPr>
  </w:style>
  <w:style w:type="paragraph" w:customStyle="1" w:styleId="TitleHCH">
    <w:name w:val="Title_H_CH"/>
    <w:basedOn w:val="Normal"/>
    <w:next w:val="SingleTxt"/>
    <w:qFormat/>
    <w:rsid w:val="008841B4"/>
  </w:style>
  <w:style w:type="paragraph" w:customStyle="1" w:styleId="TitleH2">
    <w:name w:val="Title_H2"/>
    <w:basedOn w:val="H23"/>
    <w:qFormat/>
    <w:rsid w:val="008841B4"/>
  </w:style>
  <w:style w:type="paragraph" w:customStyle="1" w:styleId="XLarge">
    <w:name w:val="XLarge"/>
    <w:basedOn w:val="HM"/>
    <w:rsid w:val="008841B4"/>
    <w:pPr>
      <w:spacing w:line="390" w:lineRule="exact"/>
    </w:pPr>
    <w:rPr>
      <w:spacing w:val="-4"/>
      <w:w w:val="98"/>
      <w:sz w:val="40"/>
    </w:rPr>
  </w:style>
  <w:style w:type="paragraph" w:customStyle="1" w:styleId="AgendaItemNumber">
    <w:name w:val="Agenda_Item_Number"/>
    <w:next w:val="Normal"/>
    <w:qFormat/>
    <w:rsid w:val="00EA1709"/>
    <w:pPr>
      <w:tabs>
        <w:tab w:val="left" w:pos="2880"/>
      </w:tabs>
      <w:spacing w:after="120" w:line="240" w:lineRule="exact"/>
    </w:pPr>
    <w:rPr>
      <w:rFonts w:ascii="Times New Roman" w:eastAsiaTheme="minorHAnsi" w:hAnsi="Times New Roman"/>
      <w:b/>
      <w:spacing w:val="4"/>
      <w:w w:val="103"/>
      <w:kern w:val="14"/>
      <w:sz w:val="20"/>
      <w:lang w:eastAsia="en-US"/>
    </w:rPr>
  </w:style>
  <w:style w:type="paragraph" w:customStyle="1" w:styleId="AgendaItemTitle">
    <w:name w:val="Agenda_Item_Title"/>
    <w:basedOn w:val="H1"/>
    <w:next w:val="Normal"/>
    <w:qFormat/>
    <w:rsid w:val="00EA1709"/>
    <w:pPr>
      <w:tabs>
        <w:tab w:val="left" w:pos="2880"/>
      </w:tabs>
      <w:spacing w:after="120" w:line="240" w:lineRule="exact"/>
      <w:ind w:left="2880" w:hanging="2880"/>
      <w:outlineLvl w:val="1"/>
    </w:pPr>
    <w:rPr>
      <w:spacing w:val="2"/>
      <w:sz w:val="20"/>
    </w:rPr>
  </w:style>
  <w:style w:type="paragraph" w:styleId="BalloonText">
    <w:name w:val="Balloon Text"/>
    <w:basedOn w:val="Normal"/>
    <w:link w:val="BalloonTextChar"/>
    <w:semiHidden/>
    <w:rsid w:val="008841B4"/>
    <w:rPr>
      <w:rFonts w:ascii="Tahoma" w:hAnsi="Tahoma" w:cs="Tahoma"/>
      <w:sz w:val="16"/>
      <w:szCs w:val="16"/>
    </w:rPr>
  </w:style>
  <w:style w:type="character" w:customStyle="1" w:styleId="BalloonTextChar">
    <w:name w:val="Balloon Text Char"/>
    <w:basedOn w:val="DefaultParagraphFont"/>
    <w:link w:val="BalloonText"/>
    <w:semiHidden/>
    <w:rsid w:val="008841B4"/>
    <w:rPr>
      <w:rFonts w:ascii="Tahoma" w:eastAsiaTheme="minorHAnsi" w:hAnsi="Tahoma" w:cs="Tahoma"/>
      <w:spacing w:val="4"/>
      <w:w w:val="103"/>
      <w:kern w:val="14"/>
      <w:sz w:val="16"/>
      <w:szCs w:val="16"/>
      <w:lang w:val="en-GB" w:eastAsia="en-US"/>
    </w:rPr>
  </w:style>
  <w:style w:type="paragraph" w:customStyle="1" w:styleId="DecisionNumber">
    <w:name w:val="DecisionNumber"/>
    <w:basedOn w:val="H1"/>
    <w:next w:val="Normal"/>
    <w:qFormat/>
    <w:rsid w:val="00EA1709"/>
    <w:pPr>
      <w:tabs>
        <w:tab w:val="left" w:pos="2880"/>
      </w:tabs>
      <w:spacing w:after="120" w:line="240" w:lineRule="exact"/>
      <w:ind w:left="2880" w:hanging="2880"/>
      <w:outlineLvl w:val="1"/>
    </w:pPr>
    <w:rPr>
      <w:spacing w:val="2"/>
      <w:sz w:val="20"/>
    </w:rPr>
  </w:style>
  <w:style w:type="paragraph" w:customStyle="1" w:styleId="DecisionTitle">
    <w:name w:val="DecisionTitle"/>
    <w:basedOn w:val="H1"/>
    <w:next w:val="Normal"/>
    <w:qFormat/>
    <w:rsid w:val="00EA1709"/>
    <w:pPr>
      <w:tabs>
        <w:tab w:val="left" w:pos="2880"/>
      </w:tabs>
      <w:spacing w:after="120" w:line="240" w:lineRule="exact"/>
      <w:ind w:left="2880" w:hanging="2880"/>
      <w:outlineLvl w:val="1"/>
    </w:pPr>
    <w:rPr>
      <w:spacing w:val="2"/>
      <w:sz w:val="20"/>
      <w:lang w:val="en-US"/>
    </w:rPr>
  </w:style>
  <w:style w:type="character" w:styleId="FollowedHyperlink">
    <w:name w:val="FollowedHyperlink"/>
    <w:basedOn w:val="DefaultParagraphFont"/>
    <w:uiPriority w:val="99"/>
    <w:semiHidden/>
    <w:unhideWhenUsed/>
    <w:rsid w:val="00EA1709"/>
    <w:rPr>
      <w:color w:val="0000FF"/>
      <w:u w:val="none"/>
    </w:rPr>
  </w:style>
  <w:style w:type="character" w:styleId="Hyperlink">
    <w:name w:val="Hyperlink"/>
    <w:basedOn w:val="DefaultParagraphFont"/>
    <w:rsid w:val="008841B4"/>
    <w:rPr>
      <w:color w:val="0000FF"/>
      <w:u w:val="none"/>
    </w:rPr>
  </w:style>
  <w:style w:type="paragraph" w:customStyle="1" w:styleId="MeetingNumber">
    <w:name w:val="MeetingNumber"/>
    <w:basedOn w:val="H1"/>
    <w:next w:val="Normal"/>
    <w:qFormat/>
    <w:rsid w:val="00EA1709"/>
    <w:pPr>
      <w:tabs>
        <w:tab w:val="left" w:pos="2880"/>
      </w:tabs>
      <w:spacing w:after="120" w:line="240" w:lineRule="exact"/>
      <w:ind w:left="2880" w:hanging="2880"/>
      <w:outlineLvl w:val="1"/>
    </w:pPr>
    <w:rPr>
      <w:spacing w:val="0"/>
      <w:sz w:val="20"/>
      <w:lang w:val="en-US"/>
    </w:rPr>
  </w:style>
  <w:style w:type="paragraph" w:customStyle="1" w:styleId="STitleL">
    <w:name w:val="S_Title_L"/>
    <w:basedOn w:val="SM"/>
    <w:next w:val="Normal"/>
    <w:qFormat/>
    <w:rsid w:val="00EA1709"/>
    <w:pPr>
      <w:spacing w:line="540" w:lineRule="exact"/>
    </w:pPr>
    <w:rPr>
      <w:spacing w:val="-8"/>
      <w:w w:val="96"/>
      <w:sz w:val="57"/>
    </w:rPr>
  </w:style>
  <w:style w:type="paragraph" w:customStyle="1" w:styleId="STitleM">
    <w:name w:val="S_Title_M"/>
    <w:basedOn w:val="Normal"/>
    <w:next w:val="Normal"/>
    <w:qFormat/>
    <w:rsid w:val="00EA1709"/>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SM"/>
    <w:next w:val="Normal"/>
    <w:qFormat/>
    <w:rsid w:val="00EA1709"/>
    <w:pPr>
      <w:spacing w:line="300" w:lineRule="exact"/>
      <w:ind w:left="1264" w:right="1264"/>
    </w:pPr>
    <w:rPr>
      <w:sz w:val="28"/>
    </w:rPr>
  </w:style>
  <w:style w:type="paragraph" w:customStyle="1" w:styleId="Session">
    <w:name w:val="Session"/>
    <w:basedOn w:val="H23"/>
    <w:rsid w:val="008841B4"/>
    <w:pPr>
      <w:ind w:left="0" w:firstLine="0"/>
    </w:pPr>
    <w:rPr>
      <w:spacing w:val="4"/>
    </w:rPr>
  </w:style>
  <w:style w:type="paragraph" w:customStyle="1" w:styleId="Sponsors">
    <w:name w:val="Sponsors"/>
    <w:basedOn w:val="H1"/>
    <w:next w:val="Normal"/>
    <w:qFormat/>
    <w:rsid w:val="00EA1709"/>
    <w:pPr>
      <w:spacing w:line="240" w:lineRule="exact"/>
    </w:pPr>
    <w:rPr>
      <w:sz w:val="20"/>
    </w:rPr>
  </w:style>
  <w:style w:type="paragraph" w:customStyle="1" w:styleId="SRContents">
    <w:name w:val="SR_Contents"/>
    <w:basedOn w:val="Normal"/>
    <w:qFormat/>
    <w:rsid w:val="00EA170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s>
      <w:spacing w:after="120"/>
      <w:ind w:left="1267" w:right="1267"/>
      <w:jc w:val="both"/>
    </w:pPr>
  </w:style>
  <w:style w:type="paragraph" w:customStyle="1" w:styleId="SRMeetingInfo">
    <w:name w:val="SR_Meeting_Info"/>
    <w:next w:val="Normal"/>
    <w:qFormat/>
    <w:rsid w:val="00EA1709"/>
    <w:pPr>
      <w:spacing w:after="0" w:line="240" w:lineRule="exact"/>
    </w:pPr>
    <w:rPr>
      <w:rFonts w:ascii="Times New Roman" w:eastAsiaTheme="minorHAnsi" w:hAnsi="Times New Roman"/>
      <w:spacing w:val="4"/>
      <w:w w:val="103"/>
      <w:kern w:val="14"/>
      <w:sz w:val="20"/>
      <w:lang w:eastAsia="en-US"/>
    </w:rPr>
  </w:style>
  <w:style w:type="paragraph" w:customStyle="1" w:styleId="SummaryRecord">
    <w:name w:val="SummaryRecord"/>
    <w:basedOn w:val="H23"/>
    <w:next w:val="Session"/>
    <w:qFormat/>
    <w:rsid w:val="00EA1709"/>
  </w:style>
  <w:style w:type="character" w:styleId="UnresolvedMention">
    <w:name w:val="Unresolved Mention"/>
    <w:basedOn w:val="DefaultParagraphFont"/>
    <w:uiPriority w:val="99"/>
    <w:semiHidden/>
    <w:unhideWhenUsed/>
    <w:rsid w:val="00EA1709"/>
    <w:rPr>
      <w:color w:val="605E5C"/>
      <w:shd w:val="clear" w:color="auto" w:fill="E1DFDD"/>
    </w:rPr>
  </w:style>
  <w:style w:type="paragraph" w:customStyle="1" w:styleId="7P">
    <w:name w:val="_ 7_ P"/>
    <w:basedOn w:val="Normal"/>
    <w:next w:val="Normal"/>
    <w:qFormat/>
    <w:rsid w:val="00495E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character" w:customStyle="1" w:styleId="SingleTxtChar">
    <w:name w:val="__Single Txt Char"/>
    <w:link w:val="SingleTxt"/>
    <w:locked/>
    <w:rsid w:val="00495E7B"/>
    <w:rPr>
      <w:rFonts w:ascii="Times New Roman" w:eastAsiaTheme="minorHAnsi" w:hAnsi="Times New Roman" w:cs="Times New Roman"/>
      <w:spacing w:val="4"/>
      <w:w w:val="103"/>
      <w:kern w:val="14"/>
      <w:sz w:val="20"/>
      <w:szCs w:val="20"/>
      <w:lang w:val="en-GB" w:eastAsia="en-US"/>
    </w:rPr>
  </w:style>
  <w:style w:type="paragraph" w:styleId="Caption">
    <w:name w:val="caption"/>
    <w:basedOn w:val="Normal"/>
    <w:next w:val="Normal"/>
    <w:uiPriority w:val="35"/>
    <w:semiHidden/>
    <w:unhideWhenUsed/>
    <w:rsid w:val="00495E7B"/>
    <w:pPr>
      <w:spacing w:line="240" w:lineRule="auto"/>
    </w:pPr>
    <w:rPr>
      <w:b/>
      <w:bCs/>
      <w:color w:val="4F81BD"/>
      <w:sz w:val="18"/>
      <w:szCs w:val="18"/>
    </w:rPr>
  </w:style>
  <w:style w:type="character" w:styleId="CommentReference">
    <w:name w:val="annotation reference"/>
    <w:semiHidden/>
    <w:rsid w:val="008841B4"/>
    <w:rPr>
      <w:sz w:val="6"/>
    </w:rPr>
  </w:style>
  <w:style w:type="paragraph" w:customStyle="1" w:styleId="HdBanner">
    <w:name w:val="Hd Banner"/>
    <w:basedOn w:val="Normal"/>
    <w:next w:val="Normal"/>
    <w:qFormat/>
    <w:rsid w:val="00495E7B"/>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495E7B"/>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495E7B"/>
    <w:pPr>
      <w:spacing w:before="240"/>
    </w:pPr>
    <w:rPr>
      <w:b/>
      <w:spacing w:val="-2"/>
      <w:w w:val="100"/>
    </w:rPr>
  </w:style>
  <w:style w:type="paragraph" w:customStyle="1" w:styleId="HdChapterBdLg">
    <w:name w:val="Hd Chapter Bd Lg"/>
    <w:basedOn w:val="HdChapterBD"/>
    <w:next w:val="Normal"/>
    <w:qFormat/>
    <w:rsid w:val="00495E7B"/>
    <w:rPr>
      <w:spacing w:val="-3"/>
      <w:w w:val="99"/>
      <w:kern w:val="14"/>
      <w:sz w:val="34"/>
      <w:szCs w:val="34"/>
    </w:rPr>
  </w:style>
  <w:style w:type="character" w:customStyle="1" w:styleId="Heading4Char">
    <w:name w:val="Heading 4 Char"/>
    <w:link w:val="Heading4"/>
    <w:uiPriority w:val="9"/>
    <w:rsid w:val="00495E7B"/>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rsid w:val="00495E7B"/>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rsid w:val="00495E7B"/>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495E7B"/>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495E7B"/>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495E7B"/>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495E7B"/>
    <w:pPr>
      <w:keepNext/>
      <w:spacing w:before="190" w:line="270" w:lineRule="exact"/>
    </w:pPr>
    <w:rPr>
      <w:b/>
      <w:sz w:val="24"/>
    </w:rPr>
  </w:style>
  <w:style w:type="paragraph" w:customStyle="1" w:styleId="JournalHeading2">
    <w:name w:val="Journal_Heading2"/>
    <w:basedOn w:val="Normal"/>
    <w:next w:val="Normal"/>
    <w:qFormat/>
    <w:rsid w:val="00495E7B"/>
    <w:pPr>
      <w:keepNext/>
      <w:keepLines/>
      <w:spacing w:before="240"/>
      <w:outlineLvl w:val="1"/>
    </w:pPr>
    <w:rPr>
      <w:b/>
      <w:spacing w:val="2"/>
    </w:rPr>
  </w:style>
  <w:style w:type="paragraph" w:customStyle="1" w:styleId="JournalHeading4">
    <w:name w:val="Journal_Heading4"/>
    <w:basedOn w:val="Normal"/>
    <w:next w:val="Normal"/>
    <w:qFormat/>
    <w:rsid w:val="00495E7B"/>
    <w:pPr>
      <w:keepNext/>
      <w:keepLines/>
      <w:spacing w:before="240"/>
      <w:outlineLvl w:val="3"/>
    </w:pPr>
    <w:rPr>
      <w:i/>
    </w:rPr>
  </w:style>
  <w:style w:type="character" w:styleId="LineNumber">
    <w:name w:val="line number"/>
    <w:rsid w:val="008841B4"/>
    <w:rPr>
      <w:sz w:val="14"/>
    </w:rPr>
  </w:style>
  <w:style w:type="paragraph" w:customStyle="1" w:styleId="NormalBullet">
    <w:name w:val="Normal Bullet"/>
    <w:basedOn w:val="Normal"/>
    <w:next w:val="Normal"/>
    <w:qFormat/>
    <w:rsid w:val="00495E7B"/>
    <w:pPr>
      <w:keepLines/>
      <w:numPr>
        <w:numId w:val="24"/>
      </w:numPr>
      <w:tabs>
        <w:tab w:val="left" w:pos="2218"/>
      </w:tabs>
      <w:spacing w:before="40" w:after="80"/>
      <w:ind w:right="302"/>
    </w:pPr>
  </w:style>
  <w:style w:type="paragraph" w:customStyle="1" w:styleId="NormalSchedule">
    <w:name w:val="Normal Schedule"/>
    <w:basedOn w:val="Normal"/>
    <w:next w:val="Normal"/>
    <w:qFormat/>
    <w:rsid w:val="00495E7B"/>
    <w:pPr>
      <w:tabs>
        <w:tab w:val="left" w:leader="dot" w:pos="2218"/>
        <w:tab w:val="left" w:pos="2707"/>
        <w:tab w:val="right" w:leader="dot" w:pos="9835"/>
      </w:tabs>
    </w:pPr>
  </w:style>
  <w:style w:type="paragraph" w:styleId="TOCHeading">
    <w:name w:val="TOC Heading"/>
    <w:basedOn w:val="Heading1"/>
    <w:next w:val="Normal"/>
    <w:uiPriority w:val="39"/>
    <w:semiHidden/>
    <w:unhideWhenUsed/>
    <w:qFormat/>
    <w:rsid w:val="00495E7B"/>
    <w:pPr>
      <w:outlineLvl w:val="9"/>
    </w:pPr>
    <w:rPr>
      <w:rFonts w:eastAsiaTheme="majorEastAsia" w:cstheme="majorBidi"/>
      <w:lang w:bidi="en-US"/>
    </w:rPr>
  </w:style>
  <w:style w:type="paragraph" w:styleId="PlainText">
    <w:name w:val="Plain Text"/>
    <w:basedOn w:val="Normal"/>
    <w:link w:val="PlainTextChar"/>
    <w:rsid w:val="008841B4"/>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8841B4"/>
    <w:rPr>
      <w:rFonts w:ascii="Courier New" w:eastAsia="Times New Roman" w:hAnsi="Courier New" w:cs="Times New Roman"/>
      <w:sz w:val="20"/>
      <w:szCs w:val="20"/>
      <w:lang w:eastAsia="en-GB"/>
    </w:rPr>
  </w:style>
  <w:style w:type="paragraph" w:customStyle="1" w:styleId="ReleaseDate0">
    <w:name w:val="Release Date"/>
    <w:next w:val="Footer"/>
    <w:rsid w:val="008841B4"/>
    <w:pPr>
      <w:spacing w:after="0" w:line="240" w:lineRule="auto"/>
    </w:pPr>
    <w:rPr>
      <w:rFonts w:ascii="Times New Roman" w:eastAsiaTheme="minorHAnsi" w:hAnsi="Times New Roman" w:cs="Times New Roman"/>
      <w:spacing w:val="4"/>
      <w:w w:val="103"/>
      <w:kern w:val="14"/>
      <w:sz w:val="20"/>
      <w:szCs w:val="20"/>
      <w:lang w:val="en-GB" w:eastAsia="en-US"/>
    </w:rPr>
  </w:style>
  <w:style w:type="table" w:styleId="TableGrid">
    <w:name w:val="Table Grid"/>
    <w:basedOn w:val="TableNormal"/>
    <w:rsid w:val="008841B4"/>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HeadingH1">
    <w:name w:val="BLUE_Heading_H1"/>
    <w:basedOn w:val="Normal"/>
    <w:next w:val="Normal"/>
    <w:qFormat/>
    <w:rsid w:val="00EF2580"/>
    <w:pPr>
      <w:keepNext/>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pPr>
    <w:rPr>
      <w:b/>
      <w:color w:val="0000FF"/>
      <w:sz w:val="24"/>
    </w:rPr>
  </w:style>
  <w:style w:type="paragraph" w:customStyle="1" w:styleId="BLUEHeadingH2">
    <w:name w:val="BLUE_Heading_H2"/>
    <w:basedOn w:val="Normal"/>
    <w:next w:val="Normal"/>
    <w:qFormat/>
    <w:rsid w:val="00E26243"/>
    <w:pPr>
      <w:outlineLvl w:val="1"/>
    </w:pPr>
    <w:rPr>
      <w:b/>
      <w:color w:val="0000FF"/>
    </w:rPr>
  </w:style>
  <w:style w:type="paragraph" w:styleId="Title">
    <w:name w:val="Title"/>
    <w:basedOn w:val="Normal"/>
    <w:next w:val="Normal"/>
    <w:link w:val="TitleChar"/>
    <w:uiPriority w:val="10"/>
    <w:qFormat/>
    <w:rsid w:val="00450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845"/>
    <w:rPr>
      <w:rFonts w:asciiTheme="majorHAnsi" w:eastAsiaTheme="majorEastAsia" w:hAnsiTheme="majorHAnsi" w:cstheme="majorBidi"/>
      <w:spacing w:val="-10"/>
      <w:w w:val="103"/>
      <w:kern w:val="28"/>
      <w:sz w:val="56"/>
      <w:szCs w:val="56"/>
      <w:lang w:val="en-GB" w:eastAsia="en-US"/>
    </w:rPr>
  </w:style>
  <w:style w:type="paragraph" w:styleId="Subtitle">
    <w:name w:val="Subtitle"/>
    <w:basedOn w:val="Normal"/>
    <w:next w:val="Normal"/>
    <w:link w:val="SubtitleChar"/>
    <w:uiPriority w:val="11"/>
    <w:qFormat/>
    <w:rsid w:val="0045084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845"/>
    <w:rPr>
      <w:rFonts w:eastAsiaTheme="majorEastAsia" w:cstheme="majorBidi"/>
      <w:color w:val="595959" w:themeColor="text1" w:themeTint="A6"/>
      <w:spacing w:val="15"/>
      <w:w w:val="103"/>
      <w:kern w:val="14"/>
      <w:sz w:val="28"/>
      <w:szCs w:val="28"/>
      <w:lang w:val="en-GB" w:eastAsia="en-US"/>
    </w:rPr>
  </w:style>
  <w:style w:type="paragraph" w:styleId="Quote">
    <w:name w:val="Quote"/>
    <w:basedOn w:val="Normal"/>
    <w:next w:val="Normal"/>
    <w:link w:val="QuoteChar"/>
    <w:uiPriority w:val="29"/>
    <w:qFormat/>
    <w:rsid w:val="004508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0845"/>
    <w:rPr>
      <w:rFonts w:ascii="Times New Roman" w:eastAsiaTheme="minorHAnsi" w:hAnsi="Times New Roman" w:cs="Times New Roman"/>
      <w:i/>
      <w:iCs/>
      <w:color w:val="404040" w:themeColor="text1" w:themeTint="BF"/>
      <w:spacing w:val="4"/>
      <w:w w:val="103"/>
      <w:kern w:val="14"/>
      <w:sz w:val="20"/>
      <w:szCs w:val="20"/>
      <w:lang w:val="en-GB" w:eastAsia="en-US"/>
    </w:rPr>
  </w:style>
  <w:style w:type="paragraph" w:styleId="ListParagraph">
    <w:name w:val="List Paragraph"/>
    <w:basedOn w:val="Normal"/>
    <w:uiPriority w:val="34"/>
    <w:qFormat/>
    <w:rsid w:val="00450845"/>
    <w:pPr>
      <w:ind w:left="720"/>
      <w:contextualSpacing/>
    </w:pPr>
  </w:style>
  <w:style w:type="character" w:styleId="IntenseEmphasis">
    <w:name w:val="Intense Emphasis"/>
    <w:basedOn w:val="DefaultParagraphFont"/>
    <w:uiPriority w:val="21"/>
    <w:qFormat/>
    <w:rsid w:val="00450845"/>
    <w:rPr>
      <w:i/>
      <w:iCs/>
      <w:color w:val="2F5496" w:themeColor="accent1" w:themeShade="BF"/>
    </w:rPr>
  </w:style>
  <w:style w:type="paragraph" w:styleId="IntenseQuote">
    <w:name w:val="Intense Quote"/>
    <w:basedOn w:val="Normal"/>
    <w:next w:val="Normal"/>
    <w:link w:val="IntenseQuoteChar"/>
    <w:uiPriority w:val="30"/>
    <w:qFormat/>
    <w:rsid w:val="00450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0845"/>
    <w:rPr>
      <w:rFonts w:ascii="Times New Roman" w:eastAsiaTheme="minorHAnsi" w:hAnsi="Times New Roman" w:cs="Times New Roman"/>
      <w:i/>
      <w:iCs/>
      <w:color w:val="2F5496" w:themeColor="accent1" w:themeShade="BF"/>
      <w:spacing w:val="4"/>
      <w:w w:val="103"/>
      <w:kern w:val="14"/>
      <w:sz w:val="20"/>
      <w:szCs w:val="20"/>
      <w:lang w:val="en-GB" w:eastAsia="en-US"/>
    </w:rPr>
  </w:style>
  <w:style w:type="character" w:styleId="IntenseReference">
    <w:name w:val="Intense Reference"/>
    <w:basedOn w:val="DefaultParagraphFont"/>
    <w:uiPriority w:val="32"/>
    <w:qFormat/>
    <w:rsid w:val="00450845"/>
    <w:rPr>
      <w:b/>
      <w:bCs/>
      <w:smallCaps/>
      <w:color w:val="2F5496" w:themeColor="accent1" w:themeShade="BF"/>
      <w:spacing w:val="5"/>
    </w:rPr>
  </w:style>
  <w:style w:type="paragraph" w:styleId="CommentText">
    <w:name w:val="annotation text"/>
    <w:basedOn w:val="Normal"/>
    <w:link w:val="CommentTextChar"/>
    <w:uiPriority w:val="99"/>
    <w:semiHidden/>
    <w:unhideWhenUsed/>
    <w:rsid w:val="002206A7"/>
    <w:pPr>
      <w:spacing w:line="240" w:lineRule="auto"/>
    </w:pPr>
  </w:style>
  <w:style w:type="character" w:customStyle="1" w:styleId="CommentTextChar">
    <w:name w:val="Comment Text Char"/>
    <w:basedOn w:val="DefaultParagraphFont"/>
    <w:link w:val="CommentText"/>
    <w:uiPriority w:val="99"/>
    <w:semiHidden/>
    <w:rsid w:val="002206A7"/>
    <w:rPr>
      <w:rFonts w:ascii="Times New Roman" w:eastAsiaTheme="minorHAnsi" w:hAnsi="Times New Roman" w:cs="Times New Roman"/>
      <w:spacing w:val="4"/>
      <w:w w:val="103"/>
      <w:kern w:val="14"/>
      <w:sz w:val="20"/>
      <w:szCs w:val="20"/>
      <w:lang w:val="en-GB" w:eastAsia="en-US"/>
    </w:rPr>
  </w:style>
  <w:style w:type="paragraph" w:styleId="CommentSubject">
    <w:name w:val="annotation subject"/>
    <w:basedOn w:val="CommentText"/>
    <w:next w:val="CommentText"/>
    <w:link w:val="CommentSubjectChar"/>
    <w:uiPriority w:val="99"/>
    <w:semiHidden/>
    <w:unhideWhenUsed/>
    <w:rsid w:val="002206A7"/>
    <w:rPr>
      <w:b/>
      <w:bCs/>
    </w:rPr>
  </w:style>
  <w:style w:type="character" w:customStyle="1" w:styleId="CommentSubjectChar">
    <w:name w:val="Comment Subject Char"/>
    <w:basedOn w:val="CommentTextChar"/>
    <w:link w:val="CommentSubject"/>
    <w:uiPriority w:val="99"/>
    <w:semiHidden/>
    <w:rsid w:val="002206A7"/>
    <w:rPr>
      <w:rFonts w:ascii="Times New Roman" w:eastAsiaTheme="minorHAnsi" w:hAnsi="Times New Roman" w:cs="Times New Roman"/>
      <w:b/>
      <w:bCs/>
      <w:spacing w:val="4"/>
      <w:w w:val="103"/>
      <w:kern w:val="14"/>
      <w:sz w:val="20"/>
      <w:szCs w:val="20"/>
      <w:lang w:val="en-GB" w:eastAsia="en-US"/>
    </w:rPr>
  </w:style>
  <w:style w:type="paragraph" w:styleId="Revision">
    <w:name w:val="Revision"/>
    <w:hidden/>
    <w:uiPriority w:val="99"/>
    <w:semiHidden/>
    <w:rsid w:val="008B18B8"/>
    <w:pPr>
      <w:spacing w:after="0" w:line="240" w:lineRule="auto"/>
    </w:pPr>
    <w:rPr>
      <w:rFonts w:ascii="Times New Roman" w:eastAsiaTheme="minorHAnsi" w:hAnsi="Times New Roman" w:cs="Times New Roman"/>
      <w:spacing w:val="4"/>
      <w:w w:val="103"/>
      <w:kern w:val="14"/>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26" Type="http://schemas.openxmlformats.org/officeDocument/2006/relationships/hyperlink" Target="https://undocs.org/en/A/RES/56/51" TargetMode="External"/><Relationship Id="rId39" Type="http://schemas.openxmlformats.org/officeDocument/2006/relationships/hyperlink" Target="https://undocs.org/en/A/RES/65/276" TargetMode="External"/><Relationship Id="rId3" Type="http://schemas.openxmlformats.org/officeDocument/2006/relationships/customXml" Target="../customXml/item3.xml"/><Relationship Id="rId21" Type="http://schemas.openxmlformats.org/officeDocument/2006/relationships/hyperlink" Target="https://undocs.org/en/A/AC.105/1362" TargetMode="External"/><Relationship Id="rId34" Type="http://schemas.openxmlformats.org/officeDocument/2006/relationships/hyperlink" Target="https://undocs.org/en/A/RES/71/90" TargetMode="External"/><Relationship Id="rId42" Type="http://schemas.openxmlformats.org/officeDocument/2006/relationships/hyperlink" Target="https://undocs.org/en/A/AC.105/2025/INF/1" TargetMode="Externa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hyperlink" Target="https://undocs.org/en/A/RES/49/33" TargetMode="External"/><Relationship Id="rId33" Type="http://schemas.openxmlformats.org/officeDocument/2006/relationships/hyperlink" Target="https://undocs.org/en/A/RES/69/85" TargetMode="External"/><Relationship Id="rId38" Type="http://schemas.openxmlformats.org/officeDocument/2006/relationships/hyperlink" Target="https://undocs.org/en/A/RES/77/121"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undocs.org/en/A/AC.105/1338" TargetMode="External"/><Relationship Id="rId29" Type="http://schemas.openxmlformats.org/officeDocument/2006/relationships/hyperlink" Target="https://undocs.org/en/A/RES/62/217" TargetMode="External"/><Relationship Id="rId41" Type="http://schemas.openxmlformats.org/officeDocument/2006/relationships/hyperlink" Target="https://undocs.org/en/A/AC.105/127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undocs.org/en/A/RES/35/16" TargetMode="External"/><Relationship Id="rId32" Type="http://schemas.openxmlformats.org/officeDocument/2006/relationships/hyperlink" Target="https://undocs.org/en/A/RES/68/75" TargetMode="External"/><Relationship Id="rId37" Type="http://schemas.openxmlformats.org/officeDocument/2006/relationships/hyperlink" Target="https://undocs.org/en/A/RES/76/76" TargetMode="External"/><Relationship Id="rId40" Type="http://schemas.openxmlformats.org/officeDocument/2006/relationships/hyperlink" Target="https://undocs.org/en/A/RES/73/91"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undocs.org/en/A/RES/32/196" TargetMode="External"/><Relationship Id="rId28" Type="http://schemas.openxmlformats.org/officeDocument/2006/relationships/hyperlink" Target="https://undocs.org/en/A/RES/59/116" TargetMode="External"/><Relationship Id="rId36" Type="http://schemas.openxmlformats.org/officeDocument/2006/relationships/hyperlink" Target="https://undocs.org/en/A/RES/74/82" TargetMode="External"/><Relationship Id="rId10" Type="http://schemas.openxmlformats.org/officeDocument/2006/relationships/header" Target="header1.xml"/><Relationship Id="rId19" Type="http://schemas.microsoft.com/office/2018/08/relationships/commentsExtensible" Target="commentsExtensible.xml"/><Relationship Id="rId31" Type="http://schemas.openxmlformats.org/officeDocument/2006/relationships/hyperlink" Target="https://undocs.org/en/A/RES/66/71" TargetMode="External"/><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undocs.org/en/A/RES/3182(XXVIII)" TargetMode="External"/><Relationship Id="rId27" Type="http://schemas.openxmlformats.org/officeDocument/2006/relationships/hyperlink" Target="https://undocs.org/en/A/RES/57/116" TargetMode="External"/><Relationship Id="rId30" Type="http://schemas.openxmlformats.org/officeDocument/2006/relationships/hyperlink" Target="https://undocs.org/en/A/RES/65/97" TargetMode="External"/><Relationship Id="rId35" Type="http://schemas.openxmlformats.org/officeDocument/2006/relationships/hyperlink" Target="https://undocs.org/en/A/RES/72/77"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FCA7A0ACA8B49A9EE0CDA78EB8896" ma:contentTypeVersion="17" ma:contentTypeDescription="Create a new document." ma:contentTypeScope="" ma:versionID="8cc671296b51c158f6dea02f26530a49">
  <xsd:schema xmlns:xsd="http://www.w3.org/2001/XMLSchema" xmlns:xs="http://www.w3.org/2001/XMLSchema" xmlns:p="http://schemas.microsoft.com/office/2006/metadata/properties" xmlns:ns2="17c4900f-10c8-4596-94a2-6f844684431c" xmlns:ns3="ee85f753-bbc9-49bc-8d7c-2dc05e549737" xmlns:ns4="985ec44e-1bab-4c0b-9df0-6ba128686fc9" targetNamespace="http://schemas.microsoft.com/office/2006/metadata/properties" ma:root="true" ma:fieldsID="6eb9b81b3378fc3c2c58c7588b63733b" ns2:_="" ns3:_="" ns4:_="">
    <xsd:import namespace="17c4900f-10c8-4596-94a2-6f844684431c"/>
    <xsd:import namespace="ee85f753-bbc9-49bc-8d7c-2dc05e549737"/>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4900f-10c8-4596-94a2-6f8446844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5f753-bbc9-49bc-8d7c-2dc05e5497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5897b04-b85f-47e0-ac8b-0b117095b5cc}" ma:internalName="TaxCatchAll" ma:showField="CatchAllData" ma:web="ee85f753-bbc9-49bc-8d7c-2dc05e5497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17c4900f-10c8-4596-94a2-6f844684431c">
      <Terms xmlns="http://schemas.microsoft.com/office/infopath/2007/PartnerControls"/>
    </lcf76f155ced4ddcb4097134ff3c332f>
    <SharedWithUsers xmlns="ee85f753-bbc9-49bc-8d7c-2dc05e549737">
      <UserInfo>
        <DisplayName/>
        <AccountId xsi:nil="true"/>
        <AccountType/>
      </UserInfo>
    </SharedWithUsers>
  </documentManagement>
</p:properties>
</file>

<file path=customXml/itemProps1.xml><?xml version="1.0" encoding="utf-8"?>
<ds:datastoreItem xmlns:ds="http://schemas.openxmlformats.org/officeDocument/2006/customXml" ds:itemID="{7351F169-E0A2-4EA4-A9C2-2631B6BF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4900f-10c8-4596-94a2-6f844684431c"/>
    <ds:schemaRef ds:uri="ee85f753-bbc9-49bc-8d7c-2dc05e549737"/>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4CB31-0E02-4902-9154-42D8F3D94234}">
  <ds:schemaRefs>
    <ds:schemaRef ds:uri="http://schemas.microsoft.com/sharepoint/v3/contenttype/forms"/>
  </ds:schemaRefs>
</ds:datastoreItem>
</file>

<file path=customXml/itemProps3.xml><?xml version="1.0" encoding="utf-8"?>
<ds:datastoreItem xmlns:ds="http://schemas.openxmlformats.org/officeDocument/2006/customXml" ds:itemID="{3BE8C901-7730-4EEB-AAB3-8A6569D83BE8}">
  <ds:schemaRefs>
    <ds:schemaRef ds:uri="ee85f753-bbc9-49bc-8d7c-2dc05e549737"/>
    <ds:schemaRef ds:uri="http://schemas.microsoft.com/office/2006/documentManagement/types"/>
    <ds:schemaRef ds:uri="985ec44e-1bab-4c0b-9df0-6ba128686fc9"/>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7c4900f-10c8-4596-94a2-6f844684431c"/>
    <ds:schemaRef ds:uri="http://purl.org/dc/terms/"/>
    <ds:schemaRef ds:uri="http://www.w3.org/XML/1998/namespace"/>
    <ds:schemaRef ds:uri="http://purl.org/dc/dcmitype/"/>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1532</Words>
  <Characters>9057</Characters>
  <Application>Microsoft Office Word</Application>
  <DocSecurity>0</DocSecurity>
  <Lines>205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Catherine Mary Koller Pope</cp:lastModifiedBy>
  <cp:revision>3</cp:revision>
  <dcterms:created xsi:type="dcterms:W3CDTF">2025-06-27T11:50:00Z</dcterms:created>
  <dcterms:modified xsi:type="dcterms:W3CDTF">2025-06-27T11:51:00Z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2510404</vt:lpwstr>
  </property>
  <property fmtid="{D5CDD505-2E9C-101B-9397-08002B2CF9AE}" pid="3" name="ODSRefJobNo">
    <vt:lpwstr>2504592E</vt:lpwstr>
  </property>
  <property fmtid="{D5CDD505-2E9C-101B-9397-08002B2CF9AE}" pid="4" name="Symbol1">
    <vt:lpwstr>A/AC.105/L.340</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Limited</vt:lpwstr>
  </property>
  <property fmtid="{D5CDD505-2E9C-101B-9397-08002B2CF9AE}" pid="11" name="Publication Date">
    <vt:lpwstr>26 June 2025</vt:lpwstr>
  </property>
  <property fmtid="{D5CDD505-2E9C-101B-9397-08002B2CF9AE}" pid="12" name="Original">
    <vt:lpwstr>English</vt:lpwstr>
  </property>
  <property fmtid="{D5CDD505-2E9C-101B-9397-08002B2CF9AE}" pid="13" name="Release Date">
    <vt:lpwstr>270625</vt:lpwstr>
  </property>
  <property fmtid="{D5CDD505-2E9C-101B-9397-08002B2CF9AE}" pid="14" name="ContentTypeId">
    <vt:lpwstr>0x01010017FFCA7A0ACA8B49A9EE0CDA78EB8896</vt:lpwstr>
  </property>
  <property fmtid="{D5CDD505-2E9C-101B-9397-08002B2CF9AE}" pid="15" name="MediaServiceImageTags">
    <vt:lpwstr/>
  </property>
</Properties>
</file>