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77680" w14:textId="77777777" w:rsidR="00C862B8" w:rsidRPr="004A667B" w:rsidRDefault="00C862B8" w:rsidP="00C862B8">
      <w:pPr>
        <w:spacing w:line="240" w:lineRule="auto"/>
        <w:rPr>
          <w:sz w:val="2"/>
        </w:rPr>
        <w:sectPr w:rsidR="00C862B8" w:rsidRPr="004A667B" w:rsidSect="00C862B8">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pgMar w:top="1440" w:right="935" w:bottom="1757" w:left="935" w:header="432" w:footer="504" w:gutter="0"/>
          <w:cols w:space="720"/>
          <w:titlePg/>
          <w:docGrid w:linePitch="360"/>
        </w:sectPr>
      </w:pPr>
      <w:commentRangeStart w:id="0"/>
      <w:commentRangeEnd w:id="0"/>
      <w:r w:rsidRPr="004A667B">
        <w:rPr>
          <w:rStyle w:val="CommentReference"/>
          <w:szCs w:val="20"/>
        </w:rPr>
        <w:commentReference w:id="0"/>
      </w:r>
    </w:p>
    <w:tbl>
      <w:tblPr>
        <w:tblW w:w="10065" w:type="dxa"/>
        <w:tblLayout w:type="fixed"/>
        <w:tblLook w:val="0000" w:firstRow="0" w:lastRow="0" w:firstColumn="0" w:lastColumn="0" w:noHBand="0" w:noVBand="0"/>
      </w:tblPr>
      <w:tblGrid>
        <w:gridCol w:w="4893"/>
        <w:gridCol w:w="288"/>
        <w:gridCol w:w="4884"/>
      </w:tblGrid>
      <w:tr w:rsidR="006873C8" w:rsidRPr="00F85BC3" w14:paraId="118FE138" w14:textId="77777777" w:rsidTr="00680036">
        <w:tc>
          <w:tcPr>
            <w:tcW w:w="4893" w:type="dxa"/>
            <w:shd w:val="clear" w:color="auto" w:fill="auto"/>
          </w:tcPr>
          <w:p w14:paraId="292B55C0" w14:textId="77777777" w:rsidR="006873C8" w:rsidRPr="00F85BC3" w:rsidRDefault="006873C8" w:rsidP="003938DD">
            <w:pPr>
              <w:pStyle w:val="H1"/>
              <w:tabs>
                <w:tab w:val="left" w:pos="475"/>
                <w:tab w:val="left" w:pos="965"/>
                <w:tab w:val="left" w:pos="1440"/>
                <w:tab w:val="left" w:pos="1915"/>
                <w:tab w:val="left" w:pos="2405"/>
                <w:tab w:val="left" w:pos="2880"/>
                <w:tab w:val="left" w:pos="3355"/>
              </w:tabs>
              <w:spacing w:line="240" w:lineRule="auto"/>
              <w:rPr>
                <w:lang w:val="es-ES_tradnl"/>
              </w:rPr>
            </w:pPr>
            <w:r w:rsidRPr="00F85BC3">
              <w:rPr>
                <w:bCs/>
                <w:color w:val="000000"/>
                <w:lang w:val="es-ES_tradnl"/>
              </w:rPr>
              <w:t>Comisión sobre la Utilización del Espacio Ultraterrestre con Fines Pacíficos</w:t>
            </w:r>
          </w:p>
          <w:p w14:paraId="7E856397" w14:textId="77777777" w:rsidR="006873C8" w:rsidRPr="00F85BC3" w:rsidRDefault="006873C8" w:rsidP="003938DD">
            <w:pPr>
              <w:pStyle w:val="H23"/>
              <w:spacing w:line="240" w:lineRule="auto"/>
              <w:rPr>
                <w:lang w:val="es-ES_tradnl"/>
              </w:rPr>
            </w:pPr>
            <w:r w:rsidRPr="00F85BC3">
              <w:rPr>
                <w:bCs/>
                <w:color w:val="000000"/>
                <w:lang w:val="es-ES_tradnl"/>
              </w:rPr>
              <w:t>68º período de sesiones</w:t>
            </w:r>
          </w:p>
          <w:p w14:paraId="5E4A8493" w14:textId="77777777" w:rsidR="006873C8" w:rsidRPr="00F85BC3" w:rsidRDefault="006873C8" w:rsidP="003938DD">
            <w:pPr>
              <w:pStyle w:val="AgendaItemNormal"/>
              <w:rPr>
                <w:lang w:val="es-ES_tradnl"/>
              </w:rPr>
            </w:pPr>
            <w:r w:rsidRPr="00F85BC3">
              <w:rPr>
                <w:color w:val="000000"/>
                <w:lang w:val="es-ES_tradnl"/>
              </w:rPr>
              <w:t>Viena, 25 de junio a 2 de julio de 2025</w:t>
            </w:r>
          </w:p>
        </w:tc>
        <w:tc>
          <w:tcPr>
            <w:tcW w:w="288" w:type="dxa"/>
            <w:shd w:val="clear" w:color="auto" w:fill="auto"/>
          </w:tcPr>
          <w:p w14:paraId="6BCCEAD2" w14:textId="77777777" w:rsidR="006873C8" w:rsidRPr="00F85BC3" w:rsidRDefault="006873C8" w:rsidP="003938DD">
            <w:pPr>
              <w:pStyle w:val="SingleTxt"/>
              <w:spacing w:after="0" w:line="240" w:lineRule="auto"/>
              <w:ind w:left="0"/>
              <w:rPr>
                <w:lang w:val="es-ES_tradnl"/>
              </w:rPr>
            </w:pPr>
          </w:p>
        </w:tc>
        <w:tc>
          <w:tcPr>
            <w:tcW w:w="4884" w:type="dxa"/>
            <w:shd w:val="clear" w:color="auto" w:fill="auto"/>
          </w:tcPr>
          <w:p w14:paraId="2F5957F3" w14:textId="77777777" w:rsidR="006873C8" w:rsidRPr="00F85BC3" w:rsidRDefault="006873C8" w:rsidP="003938DD">
            <w:pPr>
              <w:pStyle w:val="SingleTxt"/>
              <w:spacing w:after="0" w:line="240" w:lineRule="auto"/>
              <w:ind w:left="0"/>
              <w:rPr>
                <w:lang w:val="es-ES_tradnl"/>
              </w:rPr>
            </w:pPr>
          </w:p>
        </w:tc>
      </w:tr>
      <w:tr w:rsidR="006873C8" w:rsidRPr="00F85BC3" w14:paraId="55E61685" w14:textId="77777777" w:rsidTr="00680036">
        <w:tc>
          <w:tcPr>
            <w:tcW w:w="4893" w:type="dxa"/>
            <w:shd w:val="clear" w:color="auto" w:fill="auto"/>
          </w:tcPr>
          <w:p w14:paraId="57BFCFF3" w14:textId="77777777" w:rsidR="006873C8" w:rsidRPr="00F85BC3" w:rsidRDefault="006873C8" w:rsidP="003938DD">
            <w:pPr>
              <w:pStyle w:val="SingleTxt"/>
              <w:spacing w:after="0" w:line="240" w:lineRule="auto"/>
              <w:ind w:left="0"/>
              <w:rPr>
                <w:lang w:val="es-ES_tradnl"/>
              </w:rPr>
            </w:pPr>
          </w:p>
        </w:tc>
        <w:tc>
          <w:tcPr>
            <w:tcW w:w="288" w:type="dxa"/>
            <w:shd w:val="clear" w:color="auto" w:fill="auto"/>
          </w:tcPr>
          <w:p w14:paraId="7499765D" w14:textId="77777777" w:rsidR="006873C8" w:rsidRPr="00F85BC3" w:rsidRDefault="006873C8" w:rsidP="003938DD">
            <w:pPr>
              <w:pStyle w:val="SingleTxt"/>
              <w:spacing w:after="0" w:line="240" w:lineRule="auto"/>
              <w:ind w:left="0"/>
              <w:rPr>
                <w:lang w:val="es-ES_tradnl"/>
              </w:rPr>
            </w:pPr>
          </w:p>
        </w:tc>
        <w:tc>
          <w:tcPr>
            <w:tcW w:w="4884" w:type="dxa"/>
            <w:shd w:val="clear" w:color="auto" w:fill="auto"/>
          </w:tcPr>
          <w:p w14:paraId="3E5ECCDD" w14:textId="77777777" w:rsidR="006873C8" w:rsidRPr="00F85BC3" w:rsidRDefault="006873C8" w:rsidP="003938DD">
            <w:pPr>
              <w:pStyle w:val="SingleTxt"/>
              <w:spacing w:after="0" w:line="240" w:lineRule="auto"/>
              <w:ind w:left="0"/>
              <w:rPr>
                <w:lang w:val="es-ES_tradnl"/>
              </w:rPr>
            </w:pPr>
          </w:p>
        </w:tc>
      </w:tr>
    </w:tbl>
    <w:p w14:paraId="76FADD28" w14:textId="77777777" w:rsidR="006873C8" w:rsidRPr="00F85BC3" w:rsidRDefault="006873C8" w:rsidP="006873C8">
      <w:pPr>
        <w:pStyle w:val="SingleTxt"/>
        <w:spacing w:after="0" w:line="240" w:lineRule="auto"/>
        <w:rPr>
          <w:sz w:val="10"/>
          <w:lang w:val="es-ES_tradnl"/>
        </w:rPr>
      </w:pPr>
    </w:p>
    <w:p w14:paraId="11033681" w14:textId="52DD5DA9" w:rsidR="006873C8" w:rsidRPr="00F85BC3" w:rsidRDefault="006873C8" w:rsidP="006873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lang w:val="es-ES_tradnl"/>
        </w:rPr>
        <w:tab/>
      </w:r>
      <w:r w:rsidRPr="00F85BC3">
        <w:rPr>
          <w:lang w:val="es-ES_tradnl"/>
        </w:rPr>
        <w:tab/>
        <w:t>Proyecto de informe</w:t>
      </w:r>
    </w:p>
    <w:p w14:paraId="434EA6CA" w14:textId="77777777" w:rsidR="006873C8" w:rsidRPr="00F85BC3" w:rsidRDefault="006873C8" w:rsidP="006873C8">
      <w:pPr>
        <w:pStyle w:val="SingleTxt"/>
        <w:spacing w:after="0" w:line="240" w:lineRule="auto"/>
        <w:rPr>
          <w:b/>
          <w:sz w:val="10"/>
          <w:lang w:val="es-ES_tradnl"/>
        </w:rPr>
      </w:pPr>
    </w:p>
    <w:p w14:paraId="3B616881" w14:textId="77777777" w:rsidR="006873C8" w:rsidRPr="00F85BC3" w:rsidRDefault="006873C8" w:rsidP="006873C8">
      <w:pPr>
        <w:pStyle w:val="SingleTxt"/>
        <w:spacing w:after="0" w:line="240" w:lineRule="auto"/>
        <w:rPr>
          <w:b/>
          <w:sz w:val="10"/>
          <w:lang w:val="es-ES_tradnl"/>
        </w:rPr>
      </w:pPr>
    </w:p>
    <w:p w14:paraId="22F2DD87" w14:textId="115EFC9B" w:rsidR="006873C8" w:rsidRPr="00F85BC3" w:rsidRDefault="006873C8" w:rsidP="006873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lang w:val="es-ES_tradnl"/>
        </w:rPr>
        <w:tab/>
      </w:r>
      <w:r w:rsidRPr="00F85BC3">
        <w:rPr>
          <w:lang w:val="es-ES_tradnl"/>
        </w:rPr>
        <w:tab/>
        <w:t>Capítulo I</w:t>
      </w:r>
    </w:p>
    <w:p w14:paraId="5A295484" w14:textId="77777777" w:rsidR="006873C8" w:rsidRPr="00F85BC3" w:rsidRDefault="006873C8" w:rsidP="006873C8">
      <w:pPr>
        <w:pStyle w:val="SingleTxt"/>
        <w:spacing w:after="0" w:line="240" w:lineRule="auto"/>
        <w:rPr>
          <w:b/>
          <w:sz w:val="10"/>
          <w:lang w:val="es-ES_tradnl"/>
        </w:rPr>
      </w:pPr>
    </w:p>
    <w:p w14:paraId="7E9C28F0" w14:textId="77777777" w:rsidR="006873C8" w:rsidRPr="00F85BC3" w:rsidRDefault="006873C8" w:rsidP="006873C8">
      <w:pPr>
        <w:pStyle w:val="SingleTxt"/>
        <w:spacing w:after="0" w:line="240" w:lineRule="auto"/>
        <w:rPr>
          <w:b/>
          <w:sz w:val="10"/>
          <w:lang w:val="es-ES_tradnl"/>
        </w:rPr>
      </w:pPr>
    </w:p>
    <w:p w14:paraId="47DB68FC" w14:textId="77777777" w:rsidR="006873C8" w:rsidRPr="00F85BC3" w:rsidRDefault="006873C8" w:rsidP="006873C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lang w:val="es-ES_tradnl"/>
        </w:rPr>
        <w:tab/>
      </w:r>
      <w:r w:rsidRPr="00F85BC3">
        <w:rPr>
          <w:lang w:val="es-ES_tradnl"/>
        </w:rPr>
        <w:tab/>
        <w:t>Introducción</w:t>
      </w:r>
    </w:p>
    <w:p w14:paraId="475777AB" w14:textId="77777777" w:rsidR="006873C8" w:rsidRPr="00F85BC3" w:rsidRDefault="006873C8" w:rsidP="006873C8">
      <w:pPr>
        <w:pStyle w:val="SingleTxt"/>
        <w:spacing w:after="0" w:line="240" w:lineRule="auto"/>
        <w:rPr>
          <w:b/>
          <w:sz w:val="10"/>
          <w:lang w:val="es-ES_tradnl"/>
        </w:rPr>
      </w:pPr>
    </w:p>
    <w:p w14:paraId="0196B916" w14:textId="77777777" w:rsidR="006873C8" w:rsidRPr="00F85BC3" w:rsidRDefault="006873C8" w:rsidP="006873C8">
      <w:pPr>
        <w:pStyle w:val="SingleTxt"/>
        <w:spacing w:after="0" w:line="240" w:lineRule="auto"/>
        <w:rPr>
          <w:b/>
          <w:sz w:val="10"/>
          <w:lang w:val="es-ES_tradnl"/>
        </w:rPr>
      </w:pPr>
    </w:p>
    <w:p w14:paraId="0E472BEE" w14:textId="47DAD823" w:rsidR="006873C8" w:rsidRPr="00F85BC3" w:rsidRDefault="006873C8" w:rsidP="006873C8">
      <w:pPr>
        <w:pStyle w:val="SingleTxt"/>
        <w:spacing w:line="240" w:lineRule="auto"/>
        <w:rPr>
          <w:bCs/>
          <w:lang w:val="es-ES_tradnl"/>
        </w:rPr>
      </w:pPr>
      <w:r w:rsidRPr="00F85BC3">
        <w:rPr>
          <w:lang w:val="es-ES_tradnl"/>
        </w:rPr>
        <w:t>1.</w:t>
      </w:r>
      <w:r w:rsidRPr="00F85BC3">
        <w:rPr>
          <w:lang w:val="es-ES_tradnl"/>
        </w:rPr>
        <w:tab/>
        <w:t>La Comisión sobre la Utilización del Espacio Ultraterrestre con Fines Pacíficos celebró su 68º período de sesiones en Viena del 25 de junio al 2 de julio de 2025. Los integrantes de la Mesa de la Comisión fueron los siguientes:</w:t>
      </w:r>
    </w:p>
    <w:p w14:paraId="5B6D0002" w14:textId="31A28444" w:rsidR="006873C8" w:rsidRPr="00F85BC3" w:rsidRDefault="006873C8" w:rsidP="006873C8">
      <w:pPr>
        <w:pStyle w:val="SingleTxt"/>
        <w:tabs>
          <w:tab w:val="clear" w:pos="4622"/>
          <w:tab w:val="clear" w:pos="5098"/>
          <w:tab w:val="left" w:pos="4962"/>
        </w:tabs>
        <w:spacing w:line="240" w:lineRule="auto"/>
        <w:rPr>
          <w:lang w:val="es-ES_tradnl"/>
        </w:rPr>
      </w:pPr>
      <w:r w:rsidRPr="00F85BC3">
        <w:rPr>
          <w:lang w:val="es-ES_tradnl"/>
        </w:rPr>
        <w:tab/>
      </w:r>
      <w:r w:rsidRPr="00F85BC3">
        <w:rPr>
          <w:lang w:val="es-ES_tradnl"/>
        </w:rPr>
        <w:tab/>
      </w:r>
      <w:r w:rsidRPr="00F85BC3">
        <w:rPr>
          <w:i/>
          <w:iCs/>
          <w:lang w:val="es-ES_tradnl"/>
        </w:rPr>
        <w:t>Presidencia</w:t>
      </w:r>
      <w:r w:rsidRPr="00F85BC3">
        <w:rPr>
          <w:lang w:val="es-ES_tradnl"/>
        </w:rPr>
        <w:tab/>
      </w:r>
      <w:r w:rsidRPr="00F85BC3">
        <w:rPr>
          <w:lang w:val="es-ES_tradnl"/>
        </w:rPr>
        <w:tab/>
      </w:r>
      <w:r w:rsidRPr="00F85BC3">
        <w:rPr>
          <w:lang w:val="es-ES_tradnl"/>
        </w:rPr>
        <w:tab/>
      </w:r>
      <w:r w:rsidRPr="00F85BC3">
        <w:rPr>
          <w:lang w:val="es-ES_tradnl"/>
        </w:rPr>
        <w:tab/>
        <w:t>Rafiq Akram (Marruecos)</w:t>
      </w:r>
    </w:p>
    <w:p w14:paraId="7FA63B0E" w14:textId="42B8FE78" w:rsidR="006873C8" w:rsidRPr="00F85BC3" w:rsidRDefault="006873C8" w:rsidP="006873C8">
      <w:pPr>
        <w:pStyle w:val="SingleTxt"/>
        <w:tabs>
          <w:tab w:val="clear" w:pos="4622"/>
          <w:tab w:val="clear" w:pos="5098"/>
          <w:tab w:val="left" w:pos="4962"/>
        </w:tabs>
        <w:spacing w:line="240" w:lineRule="auto"/>
        <w:rPr>
          <w:lang w:val="es-ES_tradnl"/>
        </w:rPr>
      </w:pPr>
      <w:r w:rsidRPr="00F85BC3">
        <w:rPr>
          <w:lang w:val="es-ES_tradnl"/>
        </w:rPr>
        <w:tab/>
      </w:r>
      <w:r w:rsidRPr="00F85BC3">
        <w:rPr>
          <w:lang w:val="es-ES_tradnl"/>
        </w:rPr>
        <w:tab/>
      </w:r>
      <w:r w:rsidRPr="00F85BC3">
        <w:rPr>
          <w:i/>
          <w:iCs/>
          <w:lang w:val="es-ES_tradnl"/>
        </w:rPr>
        <w:t>Primera Vicepresidencia</w:t>
      </w:r>
      <w:r w:rsidRPr="00F85BC3">
        <w:rPr>
          <w:lang w:val="es-ES_tradnl"/>
        </w:rPr>
        <w:tab/>
      </w:r>
      <w:r w:rsidRPr="00F85BC3">
        <w:rPr>
          <w:lang w:val="es-ES_tradnl"/>
        </w:rPr>
        <w:tab/>
      </w:r>
      <w:r w:rsidRPr="00F85BC3">
        <w:rPr>
          <w:w w:val="100"/>
          <w:lang w:val="es-ES_tradnl"/>
        </w:rPr>
        <w:t>Juan Francisco Facetti Fernandez (Paraguay)</w:t>
      </w:r>
    </w:p>
    <w:p w14:paraId="27348704" w14:textId="77777777" w:rsidR="006873C8" w:rsidRPr="00F85BC3" w:rsidRDefault="006873C8" w:rsidP="006873C8">
      <w:pPr>
        <w:pStyle w:val="SingleTxt"/>
        <w:tabs>
          <w:tab w:val="clear" w:pos="4622"/>
          <w:tab w:val="clear" w:pos="5098"/>
          <w:tab w:val="left" w:pos="4962"/>
        </w:tabs>
        <w:spacing w:line="240" w:lineRule="auto"/>
        <w:rPr>
          <w:lang w:val="es-ES_tradnl"/>
        </w:rPr>
      </w:pPr>
      <w:r w:rsidRPr="00F85BC3">
        <w:rPr>
          <w:lang w:val="es-ES_tradnl"/>
        </w:rPr>
        <w:tab/>
      </w:r>
      <w:r w:rsidRPr="00F85BC3">
        <w:rPr>
          <w:lang w:val="es-ES_tradnl"/>
        </w:rPr>
        <w:tab/>
      </w:r>
      <w:r w:rsidRPr="00F85BC3">
        <w:rPr>
          <w:i/>
          <w:iCs/>
          <w:lang w:val="es-ES_tradnl"/>
        </w:rPr>
        <w:t>Segunda Vicepresidencia/Relatoría</w:t>
      </w:r>
      <w:r w:rsidRPr="00F85BC3">
        <w:rPr>
          <w:lang w:val="es-ES_tradnl"/>
        </w:rPr>
        <w:tab/>
        <w:t>Hesa Al-Khalifa (Bahrein)</w:t>
      </w:r>
    </w:p>
    <w:p w14:paraId="252C72E8" w14:textId="77777777" w:rsidR="006873C8" w:rsidRPr="00F85BC3" w:rsidRDefault="006873C8" w:rsidP="006873C8">
      <w:pPr>
        <w:pStyle w:val="SingleTxt"/>
        <w:tabs>
          <w:tab w:val="clear" w:pos="4622"/>
          <w:tab w:val="clear" w:pos="5098"/>
          <w:tab w:val="left" w:pos="4820"/>
        </w:tabs>
        <w:spacing w:after="0" w:line="240" w:lineRule="auto"/>
        <w:rPr>
          <w:bCs/>
          <w:sz w:val="10"/>
          <w:lang w:val="es-ES_tradnl"/>
        </w:rPr>
      </w:pPr>
    </w:p>
    <w:p w14:paraId="3540E894" w14:textId="77777777" w:rsidR="006873C8" w:rsidRPr="00F85BC3" w:rsidRDefault="006873C8" w:rsidP="006873C8">
      <w:pPr>
        <w:pStyle w:val="SingleTxt"/>
        <w:spacing w:after="0" w:line="240" w:lineRule="auto"/>
        <w:rPr>
          <w:bCs/>
          <w:sz w:val="10"/>
          <w:lang w:val="es-ES_tradnl"/>
        </w:rPr>
      </w:pPr>
    </w:p>
    <w:p w14:paraId="16273562" w14:textId="0ABCF36A" w:rsidR="006873C8" w:rsidRPr="00F85BC3" w:rsidRDefault="006873C8" w:rsidP="006873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lang w:val="es-ES_tradnl"/>
        </w:rPr>
        <w:tab/>
        <w:t>A.</w:t>
      </w:r>
      <w:r w:rsidRPr="00F85BC3">
        <w:rPr>
          <w:lang w:val="es-ES_tradnl"/>
        </w:rPr>
        <w:tab/>
        <w:t>Reuniones de los órganos subsidiarios</w:t>
      </w:r>
    </w:p>
    <w:p w14:paraId="7937AC3E" w14:textId="77777777" w:rsidR="006873C8" w:rsidRPr="00F85BC3" w:rsidRDefault="006873C8" w:rsidP="006873C8">
      <w:pPr>
        <w:pStyle w:val="SingleTxt"/>
        <w:spacing w:after="0" w:line="240" w:lineRule="auto"/>
        <w:rPr>
          <w:bCs/>
          <w:sz w:val="10"/>
          <w:lang w:val="es-ES_tradnl"/>
        </w:rPr>
      </w:pPr>
    </w:p>
    <w:p w14:paraId="67D7B6D7" w14:textId="77777777" w:rsidR="006873C8" w:rsidRPr="00F85BC3" w:rsidRDefault="006873C8" w:rsidP="006873C8">
      <w:pPr>
        <w:pStyle w:val="SingleTxt"/>
        <w:spacing w:after="0" w:line="240" w:lineRule="auto"/>
        <w:rPr>
          <w:bCs/>
          <w:sz w:val="10"/>
          <w:lang w:val="es-ES_tradnl"/>
        </w:rPr>
      </w:pPr>
    </w:p>
    <w:p w14:paraId="598E3ABC" w14:textId="5EC3265D" w:rsidR="006873C8" w:rsidRPr="00F85BC3" w:rsidRDefault="006873C8" w:rsidP="006873C8">
      <w:pPr>
        <w:pStyle w:val="SingleTxt"/>
        <w:spacing w:line="240" w:lineRule="auto"/>
        <w:rPr>
          <w:lang w:val="es-ES_tradnl"/>
        </w:rPr>
      </w:pPr>
      <w:r w:rsidRPr="00F85BC3">
        <w:rPr>
          <w:lang w:val="es-ES_tradnl"/>
        </w:rPr>
        <w:t>2.</w:t>
      </w:r>
      <w:r w:rsidRPr="00F85BC3">
        <w:rPr>
          <w:lang w:val="es-ES_tradnl"/>
        </w:rPr>
        <w:tab/>
        <w:t>La Subcomisión de Asuntos Científicos y Técnicos de la Comisión sobre la Utilización del Espacio Ultraterrestre con Fines Pacíficos celebró su 62º período de sesiones del 3 al 14 de febrero de 2025 en Viena, bajo la presidencia de Ulpia-Elena Botezatu (Rumanía). La Comisión tuvo ante sí el informe de la Subcomisión (</w:t>
      </w:r>
      <w:hyperlink r:id="rId20" w:history="1">
        <w:r w:rsidRPr="00F85BC3">
          <w:rPr>
            <w:rStyle w:val="Hyperlink"/>
            <w:lang w:val="es-ES_tradnl"/>
          </w:rPr>
          <w:t>A/AC.105/1338</w:t>
        </w:r>
      </w:hyperlink>
      <w:r w:rsidRPr="00F85BC3">
        <w:rPr>
          <w:lang w:val="es-ES_tradnl"/>
        </w:rPr>
        <w:t>).</w:t>
      </w:r>
    </w:p>
    <w:p w14:paraId="407015F7" w14:textId="41A38ACE" w:rsidR="006873C8" w:rsidRPr="00F85BC3" w:rsidRDefault="006873C8" w:rsidP="006873C8">
      <w:pPr>
        <w:pStyle w:val="SingleTxt"/>
        <w:spacing w:line="240" w:lineRule="auto"/>
        <w:rPr>
          <w:lang w:val="es-ES_tradnl"/>
        </w:rPr>
      </w:pPr>
      <w:r w:rsidRPr="00F85BC3">
        <w:rPr>
          <w:lang w:val="es-ES_tradnl"/>
        </w:rPr>
        <w:t>3.</w:t>
      </w:r>
      <w:r w:rsidRPr="00F85BC3">
        <w:rPr>
          <w:lang w:val="es-ES_tradnl"/>
        </w:rPr>
        <w:tab/>
        <w:t>La Subcomisión de Asuntos Jurídicos de la Comisión sobre la Utilización del Espacio Ultraterrestre con Fines Pacíficos celebró su 64º período de sesiones en Viena del 5 al 16 de mayo de 2025, bajo la presidencia de Santiago Ripol Carulla (España). La Comisión tuvo ante sí el informe de la Subcomisión (</w:t>
      </w:r>
      <w:hyperlink r:id="rId21" w:history="1">
        <w:r w:rsidRPr="00F85BC3">
          <w:rPr>
            <w:rStyle w:val="Hyperlink"/>
            <w:lang w:val="es-ES_tradnl"/>
          </w:rPr>
          <w:t>A/AC.105/1362</w:t>
        </w:r>
      </w:hyperlink>
      <w:r w:rsidRPr="00F85BC3">
        <w:rPr>
          <w:lang w:val="es-ES_tradnl"/>
        </w:rPr>
        <w:t>).</w:t>
      </w:r>
    </w:p>
    <w:p w14:paraId="27076C24" w14:textId="77777777" w:rsidR="006873C8" w:rsidRPr="00F85BC3" w:rsidRDefault="006873C8" w:rsidP="006873C8">
      <w:pPr>
        <w:pStyle w:val="SingleTxt"/>
        <w:spacing w:after="0" w:line="240" w:lineRule="auto"/>
        <w:rPr>
          <w:b/>
          <w:sz w:val="10"/>
          <w:lang w:val="es-ES_tradnl"/>
        </w:rPr>
      </w:pPr>
    </w:p>
    <w:p w14:paraId="62CC5886" w14:textId="77777777" w:rsidR="006873C8" w:rsidRPr="00F85BC3" w:rsidRDefault="006873C8" w:rsidP="006873C8">
      <w:pPr>
        <w:pStyle w:val="SingleTxt"/>
        <w:spacing w:after="0" w:line="240" w:lineRule="auto"/>
        <w:rPr>
          <w:b/>
          <w:sz w:val="10"/>
          <w:lang w:val="es-ES_tradnl"/>
        </w:rPr>
      </w:pPr>
    </w:p>
    <w:p w14:paraId="546CF667" w14:textId="3836905F" w:rsidR="006873C8" w:rsidRPr="00F85BC3" w:rsidRDefault="006873C8" w:rsidP="006873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bCs/>
          <w:lang w:val="es-ES_tradnl"/>
        </w:rPr>
        <w:tab/>
        <w:t>B.</w:t>
      </w:r>
      <w:r w:rsidRPr="00F85BC3">
        <w:rPr>
          <w:lang w:val="es-ES_tradnl"/>
        </w:rPr>
        <w:tab/>
        <w:t>Aprobación</w:t>
      </w:r>
      <w:r w:rsidRPr="00F85BC3">
        <w:rPr>
          <w:bCs/>
          <w:lang w:val="es-ES_tradnl"/>
        </w:rPr>
        <w:t xml:space="preserve"> del programa</w:t>
      </w:r>
    </w:p>
    <w:p w14:paraId="7335B292" w14:textId="77777777" w:rsidR="006873C8" w:rsidRPr="00F85BC3" w:rsidRDefault="006873C8" w:rsidP="006873C8">
      <w:pPr>
        <w:pStyle w:val="SingleTxt"/>
        <w:spacing w:after="0" w:line="240" w:lineRule="auto"/>
        <w:rPr>
          <w:b/>
          <w:sz w:val="10"/>
          <w:lang w:val="es-ES_tradnl"/>
        </w:rPr>
      </w:pPr>
    </w:p>
    <w:p w14:paraId="6E106D1E" w14:textId="77777777" w:rsidR="006873C8" w:rsidRPr="00F85BC3" w:rsidRDefault="006873C8" w:rsidP="006873C8">
      <w:pPr>
        <w:pStyle w:val="SingleTxt"/>
        <w:spacing w:after="0" w:line="240" w:lineRule="auto"/>
        <w:rPr>
          <w:b/>
          <w:sz w:val="10"/>
          <w:lang w:val="es-ES_tradnl"/>
        </w:rPr>
      </w:pPr>
    </w:p>
    <w:p w14:paraId="07370F43" w14:textId="28F50D9F" w:rsidR="006873C8" w:rsidRPr="00F85BC3" w:rsidRDefault="00AD41D5" w:rsidP="006873C8">
      <w:pPr>
        <w:pStyle w:val="SingleTxt"/>
        <w:spacing w:line="240" w:lineRule="auto"/>
        <w:rPr>
          <w:bCs/>
          <w:lang w:val="es-ES_tradnl"/>
        </w:rPr>
      </w:pPr>
      <w:r w:rsidRPr="00F85BC3">
        <w:rPr>
          <w:lang w:val="es-ES_tradnl"/>
        </w:rPr>
        <w:t>4</w:t>
      </w:r>
      <w:r w:rsidR="006873C8" w:rsidRPr="00F85BC3">
        <w:rPr>
          <w:lang w:val="es-ES_tradnl"/>
        </w:rPr>
        <w:t>.</w:t>
      </w:r>
      <w:r w:rsidR="006873C8" w:rsidRPr="00F85BC3">
        <w:rPr>
          <w:lang w:val="es-ES_tradnl"/>
        </w:rPr>
        <w:tab/>
        <w:t>En su 834ª sesión, celebrada el 25 de junio de 2025, la Comisión aprobó el siguiente programa:</w:t>
      </w:r>
    </w:p>
    <w:p w14:paraId="66513E73" w14:textId="1467845A"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w:t>
      </w:r>
      <w:r w:rsidRPr="00F85BC3">
        <w:rPr>
          <w:lang w:val="es-ES_tradnl"/>
        </w:rPr>
        <w:tab/>
        <w:t>Apertura del período de sesiones.</w:t>
      </w:r>
    </w:p>
    <w:p w14:paraId="55D5BC0F" w14:textId="0EA74B31"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2.</w:t>
      </w:r>
      <w:r w:rsidRPr="00F85BC3">
        <w:rPr>
          <w:lang w:val="es-ES_tradnl"/>
        </w:rPr>
        <w:tab/>
        <w:t>Aprobación del programa.</w:t>
      </w:r>
    </w:p>
    <w:p w14:paraId="039C7614" w14:textId="22D363ED"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3.</w:t>
      </w:r>
      <w:r w:rsidRPr="00F85BC3">
        <w:rPr>
          <w:lang w:val="es-ES_tradnl"/>
        </w:rPr>
        <w:tab/>
        <w:t>Declaración de la Presidencia.</w:t>
      </w:r>
    </w:p>
    <w:p w14:paraId="246A7C96" w14:textId="6D97D8C1"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4.</w:t>
      </w:r>
      <w:r w:rsidRPr="00F85BC3">
        <w:rPr>
          <w:lang w:val="es-ES_tradnl"/>
        </w:rPr>
        <w:tab/>
        <w:t>Intercambio general de opiniones.</w:t>
      </w:r>
    </w:p>
    <w:p w14:paraId="243A5D7C" w14:textId="004E91B6"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5.</w:t>
      </w:r>
      <w:r w:rsidRPr="00F85BC3">
        <w:rPr>
          <w:lang w:val="es-ES_tradnl"/>
        </w:rPr>
        <w:tab/>
        <w:t>Medios de reservar el espacio ultraterrestre para fines pacíficos.</w:t>
      </w:r>
    </w:p>
    <w:p w14:paraId="6E213376" w14:textId="663E0C82" w:rsidR="006873C8" w:rsidRPr="00F85BC3" w:rsidRDefault="006873C8" w:rsidP="006873C8">
      <w:pPr>
        <w:pStyle w:val="SingleTxt"/>
        <w:spacing w:line="240" w:lineRule="auto"/>
        <w:ind w:left="2218" w:hanging="954"/>
        <w:rPr>
          <w:lang w:val="es-ES_tradnl"/>
        </w:rPr>
      </w:pPr>
      <w:r w:rsidRPr="00F85BC3">
        <w:rPr>
          <w:lang w:val="es-ES_tradnl"/>
        </w:rPr>
        <w:lastRenderedPageBreak/>
        <w:tab/>
      </w:r>
      <w:r w:rsidRPr="00F85BC3">
        <w:rPr>
          <w:lang w:val="es-ES_tradnl"/>
        </w:rPr>
        <w:tab/>
        <w:t>6.</w:t>
      </w:r>
      <w:r w:rsidRPr="00F85BC3">
        <w:rPr>
          <w:lang w:val="es-ES_tradnl"/>
        </w:rPr>
        <w:tab/>
        <w:t>Informe de la Subcomisión de Asuntos Científicos y Técnicos sobre su 62º</w:t>
      </w:r>
      <w:r w:rsidR="00CB4701" w:rsidRPr="00F85BC3">
        <w:rPr>
          <w:lang w:val="es-ES_tradnl"/>
        </w:rPr>
        <w:t> </w:t>
      </w:r>
      <w:r w:rsidRPr="00F85BC3">
        <w:rPr>
          <w:lang w:val="es-ES_tradnl"/>
        </w:rPr>
        <w:t>período de sesiones.</w:t>
      </w:r>
    </w:p>
    <w:p w14:paraId="0AC038C5" w14:textId="52813349" w:rsidR="006873C8" w:rsidRPr="00F85BC3" w:rsidRDefault="006873C8" w:rsidP="006873C8">
      <w:pPr>
        <w:pStyle w:val="SingleTxt"/>
        <w:spacing w:line="240" w:lineRule="auto"/>
        <w:ind w:left="2218" w:hanging="954"/>
        <w:rPr>
          <w:lang w:val="es-ES_tradnl"/>
        </w:rPr>
      </w:pPr>
      <w:r w:rsidRPr="00F85BC3">
        <w:rPr>
          <w:lang w:val="es-ES_tradnl"/>
        </w:rPr>
        <w:tab/>
      </w:r>
      <w:r w:rsidRPr="00F85BC3">
        <w:rPr>
          <w:lang w:val="es-ES_tradnl"/>
        </w:rPr>
        <w:tab/>
        <w:t>7.</w:t>
      </w:r>
      <w:r w:rsidRPr="00F85BC3">
        <w:rPr>
          <w:lang w:val="es-ES_tradnl"/>
        </w:rPr>
        <w:tab/>
        <w:t>Informe de la Subcomisión de Asuntos Jurídicos sobre su 64º período de sesiones.</w:t>
      </w:r>
    </w:p>
    <w:p w14:paraId="0B4E9DA2" w14:textId="67822701"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8.</w:t>
      </w:r>
      <w:r w:rsidRPr="00F85BC3">
        <w:rPr>
          <w:lang w:val="es-ES_tradnl"/>
        </w:rPr>
        <w:tab/>
        <w:t>El espacio y el desarrollo sostenible.</w:t>
      </w:r>
    </w:p>
    <w:p w14:paraId="62020EF0" w14:textId="7844BC48" w:rsidR="006873C8" w:rsidRPr="00F85BC3" w:rsidRDefault="006873C8" w:rsidP="006873C8">
      <w:pPr>
        <w:pStyle w:val="SingleTxt"/>
        <w:spacing w:line="240" w:lineRule="auto"/>
        <w:ind w:left="2218" w:hanging="954"/>
        <w:rPr>
          <w:lang w:val="es-ES_tradnl"/>
        </w:rPr>
      </w:pPr>
      <w:r w:rsidRPr="00F85BC3">
        <w:rPr>
          <w:lang w:val="es-ES_tradnl"/>
        </w:rPr>
        <w:tab/>
      </w:r>
      <w:r w:rsidRPr="00F85BC3">
        <w:rPr>
          <w:lang w:val="es-ES_tradnl"/>
        </w:rPr>
        <w:tab/>
        <w:t>9.</w:t>
      </w:r>
      <w:r w:rsidRPr="00F85BC3">
        <w:rPr>
          <w:lang w:val="es-ES_tradnl"/>
        </w:rPr>
        <w:tab/>
        <w:t>Beneficios derivados de la tecnología espacial: examen de la situación actual.</w:t>
      </w:r>
    </w:p>
    <w:p w14:paraId="04040B25" w14:textId="149EB042"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10.</w:t>
      </w:r>
      <w:r w:rsidRPr="00F85BC3">
        <w:rPr>
          <w:lang w:val="es-ES_tradnl"/>
        </w:rPr>
        <w:tab/>
        <w:t>El espacio y el agua.</w:t>
      </w:r>
    </w:p>
    <w:p w14:paraId="2A2C4AE2" w14:textId="391D55C1"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11.</w:t>
      </w:r>
      <w:r w:rsidRPr="00F85BC3">
        <w:rPr>
          <w:lang w:val="es-ES_tradnl"/>
        </w:rPr>
        <w:tab/>
        <w:t>El espacio y el cambio climático.</w:t>
      </w:r>
    </w:p>
    <w:p w14:paraId="00417BAC" w14:textId="6D7F96EB"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12.</w:t>
      </w:r>
      <w:r w:rsidRPr="00F85BC3">
        <w:rPr>
          <w:lang w:val="es-ES_tradnl"/>
        </w:rPr>
        <w:tab/>
        <w:t>La utilización de la tecnología espacial en el sistema de las Naciones Unidas.</w:t>
      </w:r>
    </w:p>
    <w:p w14:paraId="6B323878" w14:textId="37D23FF7"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13.</w:t>
      </w:r>
      <w:r w:rsidRPr="00F85BC3">
        <w:rPr>
          <w:lang w:val="es-ES_tradnl"/>
        </w:rPr>
        <w:tab/>
        <w:t>Función futura y método de trabajo de la Comisión.</w:t>
      </w:r>
    </w:p>
    <w:p w14:paraId="00AD3C46" w14:textId="7C0557CE"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14.</w:t>
      </w:r>
      <w:r w:rsidRPr="00F85BC3">
        <w:rPr>
          <w:lang w:val="es-ES_tradnl"/>
        </w:rPr>
        <w:tab/>
        <w:t>Exploración e innovación espaciales.</w:t>
      </w:r>
    </w:p>
    <w:p w14:paraId="10EE01DB" w14:textId="4430D106"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15.</w:t>
      </w:r>
      <w:r w:rsidRPr="00F85BC3">
        <w:rPr>
          <w:lang w:val="es-ES_tradnl"/>
        </w:rPr>
        <w:tab/>
        <w:t>La Agenda “Espacio2030”‎.</w:t>
      </w:r>
    </w:p>
    <w:p w14:paraId="15C9D96C" w14:textId="7F5A090A"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16.</w:t>
      </w:r>
      <w:r w:rsidRPr="00F85BC3">
        <w:rPr>
          <w:lang w:val="es-ES_tradnl"/>
        </w:rPr>
        <w:tab/>
        <w:t>Otros asuntos.</w:t>
      </w:r>
    </w:p>
    <w:p w14:paraId="7BA6BF50" w14:textId="3FA59C01" w:rsidR="006873C8" w:rsidRPr="00F85BC3" w:rsidRDefault="006873C8" w:rsidP="006873C8">
      <w:pPr>
        <w:pStyle w:val="SingleTxt"/>
        <w:spacing w:line="240" w:lineRule="auto"/>
        <w:rPr>
          <w:lang w:val="es-ES_tradnl"/>
        </w:rPr>
      </w:pPr>
      <w:r w:rsidRPr="00F85BC3">
        <w:rPr>
          <w:lang w:val="es-ES_tradnl"/>
        </w:rPr>
        <w:tab/>
      </w:r>
      <w:r w:rsidRPr="00F85BC3">
        <w:rPr>
          <w:lang w:val="es-ES_tradnl"/>
        </w:rPr>
        <w:tab/>
        <w:t>17.</w:t>
      </w:r>
      <w:r w:rsidRPr="00F85BC3">
        <w:rPr>
          <w:lang w:val="es-ES_tradnl"/>
        </w:rPr>
        <w:tab/>
        <w:t>Informe de la Comisión a la Asamblea General.</w:t>
      </w:r>
    </w:p>
    <w:p w14:paraId="470655AA" w14:textId="77777777" w:rsidR="006873C8" w:rsidRPr="00F85BC3" w:rsidRDefault="006873C8" w:rsidP="006873C8">
      <w:pPr>
        <w:pStyle w:val="SingleTxt"/>
        <w:spacing w:after="0" w:line="240" w:lineRule="auto"/>
        <w:rPr>
          <w:b/>
          <w:sz w:val="10"/>
          <w:lang w:val="es-ES_tradnl"/>
        </w:rPr>
      </w:pPr>
    </w:p>
    <w:p w14:paraId="591124B6" w14:textId="77777777" w:rsidR="006873C8" w:rsidRPr="00F85BC3" w:rsidRDefault="006873C8" w:rsidP="006873C8">
      <w:pPr>
        <w:pStyle w:val="SingleTxt"/>
        <w:spacing w:after="0" w:line="240" w:lineRule="auto"/>
        <w:rPr>
          <w:b/>
          <w:sz w:val="10"/>
          <w:lang w:val="es-ES_tradnl"/>
        </w:rPr>
      </w:pPr>
    </w:p>
    <w:p w14:paraId="01BA3EAD" w14:textId="210D889C" w:rsidR="006873C8" w:rsidRPr="00F85BC3" w:rsidRDefault="006873C8" w:rsidP="006873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bCs/>
          <w:lang w:val="es-ES_tradnl"/>
        </w:rPr>
        <w:tab/>
        <w:t>C.</w:t>
      </w:r>
      <w:r w:rsidRPr="00F85BC3">
        <w:rPr>
          <w:lang w:val="es-ES_tradnl"/>
        </w:rPr>
        <w:tab/>
        <w:t>Composición</w:t>
      </w:r>
    </w:p>
    <w:p w14:paraId="61031D2E" w14:textId="77777777" w:rsidR="006873C8" w:rsidRPr="00F85BC3" w:rsidRDefault="006873C8" w:rsidP="006873C8">
      <w:pPr>
        <w:pStyle w:val="SingleTxt"/>
        <w:spacing w:after="0" w:line="240" w:lineRule="auto"/>
        <w:rPr>
          <w:b/>
          <w:sz w:val="10"/>
          <w:lang w:val="es-ES_tradnl"/>
        </w:rPr>
      </w:pPr>
    </w:p>
    <w:p w14:paraId="4F835F9B" w14:textId="77777777" w:rsidR="006873C8" w:rsidRPr="00F85BC3" w:rsidRDefault="006873C8" w:rsidP="006873C8">
      <w:pPr>
        <w:pStyle w:val="SingleTxt"/>
        <w:spacing w:after="0" w:line="240" w:lineRule="auto"/>
        <w:rPr>
          <w:b/>
          <w:sz w:val="10"/>
          <w:lang w:val="es-ES_tradnl"/>
        </w:rPr>
      </w:pPr>
    </w:p>
    <w:p w14:paraId="7DF78B61" w14:textId="304D0375" w:rsidR="006873C8" w:rsidRPr="00F85BC3" w:rsidRDefault="00AD41D5" w:rsidP="006873C8">
      <w:pPr>
        <w:pStyle w:val="SingleTxt"/>
        <w:spacing w:line="240" w:lineRule="auto"/>
        <w:rPr>
          <w:lang w:val="es-ES_tradnl"/>
        </w:rPr>
      </w:pPr>
      <w:r w:rsidRPr="00F85BC3">
        <w:rPr>
          <w:lang w:val="es-ES_tradnl"/>
        </w:rPr>
        <w:t>5</w:t>
      </w:r>
      <w:r w:rsidR="006873C8" w:rsidRPr="00F85BC3">
        <w:rPr>
          <w:lang w:val="es-ES_tradnl"/>
        </w:rPr>
        <w:t>.</w:t>
      </w:r>
      <w:r w:rsidR="006873C8" w:rsidRPr="00F85BC3">
        <w:rPr>
          <w:lang w:val="es-ES_tradnl"/>
        </w:rPr>
        <w:tab/>
        <w:t>De conformidad con las resoluciones de la Asamblea General 1472 A (XIV), 1721</w:t>
      </w:r>
      <w:r w:rsidR="00CB4701" w:rsidRPr="00F85BC3">
        <w:rPr>
          <w:lang w:val="es-ES_tradnl"/>
        </w:rPr>
        <w:t> </w:t>
      </w:r>
      <w:r w:rsidR="006873C8" w:rsidRPr="00F85BC3">
        <w:rPr>
          <w:lang w:val="es-ES_tradnl"/>
        </w:rPr>
        <w:t xml:space="preserve">E (XVI), </w:t>
      </w:r>
      <w:hyperlink r:id="rId22" w:history="1">
        <w:r w:rsidR="006873C8" w:rsidRPr="00F85BC3">
          <w:rPr>
            <w:rStyle w:val="Hyperlink"/>
            <w:lang w:val="es-ES_tradnl"/>
          </w:rPr>
          <w:t>3182 (XXVIII)</w:t>
        </w:r>
      </w:hyperlink>
      <w:r w:rsidR="006873C8" w:rsidRPr="00F85BC3">
        <w:rPr>
          <w:lang w:val="es-ES_tradnl"/>
        </w:rPr>
        <w:t xml:space="preserve">, </w:t>
      </w:r>
      <w:hyperlink r:id="rId23" w:history="1">
        <w:r w:rsidR="006873C8" w:rsidRPr="00F85BC3">
          <w:rPr>
            <w:rStyle w:val="Hyperlink"/>
            <w:lang w:val="es-ES_tradnl"/>
          </w:rPr>
          <w:t>32/196</w:t>
        </w:r>
      </w:hyperlink>
      <w:r w:rsidR="006873C8" w:rsidRPr="00F85BC3">
        <w:rPr>
          <w:lang w:val="es-ES_tradnl"/>
        </w:rPr>
        <w:t xml:space="preserve"> B, </w:t>
      </w:r>
      <w:hyperlink r:id="rId24" w:history="1">
        <w:r w:rsidR="006873C8" w:rsidRPr="00F85BC3">
          <w:rPr>
            <w:rStyle w:val="Hyperlink"/>
            <w:lang w:val="es-ES_tradnl"/>
          </w:rPr>
          <w:t>35/16</w:t>
        </w:r>
      </w:hyperlink>
      <w:r w:rsidR="006873C8" w:rsidRPr="00F85BC3">
        <w:rPr>
          <w:lang w:val="es-ES_tradnl"/>
        </w:rPr>
        <w:t xml:space="preserve">, </w:t>
      </w:r>
      <w:hyperlink r:id="rId25" w:history="1">
        <w:r w:rsidR="006873C8" w:rsidRPr="00F85BC3">
          <w:rPr>
            <w:rStyle w:val="Hyperlink"/>
            <w:lang w:val="es-ES_tradnl"/>
          </w:rPr>
          <w:t>49/33</w:t>
        </w:r>
      </w:hyperlink>
      <w:r w:rsidR="006873C8" w:rsidRPr="00F85BC3">
        <w:rPr>
          <w:lang w:val="es-ES_tradnl"/>
        </w:rPr>
        <w:t xml:space="preserve">, </w:t>
      </w:r>
      <w:hyperlink r:id="rId26" w:history="1">
        <w:r w:rsidR="006873C8" w:rsidRPr="00F85BC3">
          <w:rPr>
            <w:rStyle w:val="Hyperlink"/>
            <w:lang w:val="es-ES_tradnl"/>
          </w:rPr>
          <w:t>56/51</w:t>
        </w:r>
      </w:hyperlink>
      <w:r w:rsidR="006873C8" w:rsidRPr="00F85BC3">
        <w:rPr>
          <w:lang w:val="es-ES_tradnl"/>
        </w:rPr>
        <w:t xml:space="preserve">, </w:t>
      </w:r>
      <w:hyperlink r:id="rId27" w:history="1">
        <w:r w:rsidR="006873C8" w:rsidRPr="00F85BC3">
          <w:rPr>
            <w:rStyle w:val="Hyperlink"/>
            <w:lang w:val="es-ES_tradnl"/>
          </w:rPr>
          <w:t>57/116</w:t>
        </w:r>
      </w:hyperlink>
      <w:r w:rsidR="006873C8" w:rsidRPr="00F85BC3">
        <w:rPr>
          <w:lang w:val="es-ES_tradnl"/>
        </w:rPr>
        <w:t xml:space="preserve">, </w:t>
      </w:r>
      <w:hyperlink r:id="rId28" w:history="1">
        <w:r w:rsidR="006873C8" w:rsidRPr="00F85BC3">
          <w:rPr>
            <w:rStyle w:val="Hyperlink"/>
            <w:lang w:val="es-ES_tradnl"/>
          </w:rPr>
          <w:t>59/116</w:t>
        </w:r>
      </w:hyperlink>
      <w:r w:rsidR="006873C8" w:rsidRPr="00F85BC3">
        <w:rPr>
          <w:lang w:val="es-ES_tradnl"/>
        </w:rPr>
        <w:t xml:space="preserve">, </w:t>
      </w:r>
      <w:hyperlink r:id="rId29" w:history="1">
        <w:r w:rsidR="006873C8" w:rsidRPr="00F85BC3">
          <w:rPr>
            <w:rStyle w:val="Hyperlink"/>
            <w:lang w:val="es-ES_tradnl"/>
          </w:rPr>
          <w:t>62/217</w:t>
        </w:r>
      </w:hyperlink>
      <w:r w:rsidR="006873C8" w:rsidRPr="00F85BC3">
        <w:rPr>
          <w:lang w:val="es-ES_tradnl"/>
        </w:rPr>
        <w:t xml:space="preserve">, </w:t>
      </w:r>
      <w:hyperlink r:id="rId30" w:history="1">
        <w:r w:rsidR="006873C8" w:rsidRPr="00F85BC3">
          <w:rPr>
            <w:rStyle w:val="Hyperlink"/>
            <w:lang w:val="es-ES_tradnl"/>
          </w:rPr>
          <w:t>65/97</w:t>
        </w:r>
      </w:hyperlink>
      <w:r w:rsidR="006873C8" w:rsidRPr="00F85BC3">
        <w:rPr>
          <w:lang w:val="es-ES_tradnl"/>
        </w:rPr>
        <w:t xml:space="preserve">, </w:t>
      </w:r>
      <w:hyperlink r:id="rId31" w:history="1">
        <w:r w:rsidR="006873C8" w:rsidRPr="00F85BC3">
          <w:rPr>
            <w:rStyle w:val="Hyperlink"/>
            <w:lang w:val="es-ES_tradnl"/>
          </w:rPr>
          <w:t>66/71</w:t>
        </w:r>
      </w:hyperlink>
      <w:r w:rsidR="006873C8" w:rsidRPr="00F85BC3">
        <w:rPr>
          <w:lang w:val="es-ES_tradnl"/>
        </w:rPr>
        <w:t xml:space="preserve">, </w:t>
      </w:r>
      <w:hyperlink r:id="rId32" w:history="1">
        <w:r w:rsidR="006873C8" w:rsidRPr="00F85BC3">
          <w:rPr>
            <w:rStyle w:val="Hyperlink"/>
            <w:lang w:val="es-ES_tradnl"/>
          </w:rPr>
          <w:t>68/75</w:t>
        </w:r>
      </w:hyperlink>
      <w:r w:rsidR="006873C8" w:rsidRPr="00F85BC3">
        <w:rPr>
          <w:lang w:val="es-ES_tradnl"/>
        </w:rPr>
        <w:t xml:space="preserve">, </w:t>
      </w:r>
      <w:hyperlink r:id="rId33" w:history="1">
        <w:r w:rsidR="006873C8" w:rsidRPr="00F85BC3">
          <w:rPr>
            <w:rStyle w:val="Hyperlink"/>
            <w:lang w:val="es-ES_tradnl"/>
          </w:rPr>
          <w:t>69/85</w:t>
        </w:r>
      </w:hyperlink>
      <w:r w:rsidR="006873C8" w:rsidRPr="00F85BC3">
        <w:rPr>
          <w:lang w:val="es-ES_tradnl"/>
        </w:rPr>
        <w:t xml:space="preserve">, </w:t>
      </w:r>
      <w:hyperlink r:id="rId34" w:history="1">
        <w:r w:rsidR="006873C8" w:rsidRPr="00F85BC3">
          <w:rPr>
            <w:rStyle w:val="Hyperlink"/>
            <w:lang w:val="es-ES_tradnl"/>
          </w:rPr>
          <w:t>71/90</w:t>
        </w:r>
      </w:hyperlink>
      <w:r w:rsidR="006873C8" w:rsidRPr="00F85BC3">
        <w:rPr>
          <w:lang w:val="es-ES_tradnl"/>
        </w:rPr>
        <w:t xml:space="preserve">, </w:t>
      </w:r>
      <w:hyperlink r:id="rId35" w:history="1">
        <w:r w:rsidR="006873C8" w:rsidRPr="00F85BC3">
          <w:rPr>
            <w:rStyle w:val="Hyperlink"/>
            <w:lang w:val="es-ES_tradnl"/>
          </w:rPr>
          <w:t>72/77</w:t>
        </w:r>
      </w:hyperlink>
      <w:r w:rsidR="006873C8" w:rsidRPr="00F85BC3">
        <w:rPr>
          <w:lang w:val="es-ES_tradnl"/>
        </w:rPr>
        <w:t xml:space="preserve">, </w:t>
      </w:r>
      <w:hyperlink r:id="rId36" w:history="1">
        <w:r w:rsidR="006873C8" w:rsidRPr="00F85BC3">
          <w:rPr>
            <w:rStyle w:val="Hyperlink"/>
            <w:lang w:val="es-ES_tradnl"/>
          </w:rPr>
          <w:t>74/82</w:t>
        </w:r>
      </w:hyperlink>
      <w:r w:rsidR="006873C8" w:rsidRPr="00F85BC3">
        <w:rPr>
          <w:lang w:val="es-ES_tradnl"/>
        </w:rPr>
        <w:t xml:space="preserve">, </w:t>
      </w:r>
      <w:hyperlink r:id="rId37" w:history="1">
        <w:r w:rsidR="006873C8" w:rsidRPr="00F85BC3">
          <w:rPr>
            <w:rStyle w:val="Hyperlink"/>
            <w:lang w:val="es-ES_tradnl"/>
          </w:rPr>
          <w:t>76/76</w:t>
        </w:r>
      </w:hyperlink>
      <w:r w:rsidR="006873C8" w:rsidRPr="00F85BC3">
        <w:rPr>
          <w:lang w:val="es-ES_tradnl"/>
        </w:rPr>
        <w:t xml:space="preserve"> y </w:t>
      </w:r>
      <w:hyperlink r:id="rId38" w:history="1">
        <w:r w:rsidR="006873C8" w:rsidRPr="00F85BC3">
          <w:rPr>
            <w:rStyle w:val="Hyperlink"/>
            <w:lang w:val="es-ES_tradnl"/>
          </w:rPr>
          <w:t>77/121</w:t>
        </w:r>
      </w:hyperlink>
      <w:r w:rsidR="006873C8" w:rsidRPr="00F85BC3">
        <w:rPr>
          <w:lang w:val="es-ES_tradnl"/>
        </w:rPr>
        <w:t xml:space="preserve"> y las decisiones de la Asamblea 45/315, 67/412, 67/528, 70/518, 73/517, 79/519 A y 79/519 B, la Comisión quedó integrada por los siguientes 104 Estados: </w:t>
      </w:r>
      <w:r w:rsidR="00F85BC3">
        <w:t>Albania, Alemania, Angola, Arabia Saudita, Argelia, Argentina, Armenia, Australia, Austria, Azerbaiyán, Bahrein, Bangladesh, Belarús, Bélgica, Benin, Bolivia (Estado Plurinacional de), Brasil, Bulgaria, Burkina Faso, Camerún, Canadá, Chad, Chequia, Chile, China, Chipre, Colombia, Costa Rica, Cuba, Dinamarca, Djibouti, Ecuador, Egipto, El Salvador, Emiratos Árabes Unidos, Eslovaquia, Eslovenia, España, Estados Unidos de América, Etiopía, Federación de Rusia, Filipinas, Finlandia, Francia, Ghana, Grecia, Guatemala, Hungría, India, Indonesia, Irán (República Islámica del), Iraq, Israel, Italia, Japón, Jordania, Kazajstán, Kenya, Kuwait, Letonia, Líbano, Libia, Luxemburgo, Malasia, Marruecos, Mauricio, México, Mongolia, Nicaragua, Níger, Nigeria, Noruega, Nueva Zelandia, Omán, Países Bajos (Reino de los), Pakistán, Panamá, Paraguay, Perú, Polonia, Portugal, Qatar, Reino Unido de Gran Bretaña e Irlanda del Norte, República Árabe Siria, República de Corea, República Dominicana, Rumanía, Rwanda, Senegal, Sierra Leona, Singapur, Sri Lanka, Sudáfrica, Sudán, Suecia, Suiza, Tailandia, Túnez, Türkiye, Ucrania, Uruguay, Uzbekistán, Venezuela (República Bolivariana de) y Viet Nam.</w:t>
      </w:r>
      <w:bookmarkStart w:id="1" w:name="_Hlk136876521"/>
      <w:bookmarkEnd w:id="1"/>
    </w:p>
    <w:p w14:paraId="1CAB12C8" w14:textId="77777777" w:rsidR="006873C8" w:rsidRPr="00F85BC3" w:rsidRDefault="006873C8" w:rsidP="006873C8">
      <w:pPr>
        <w:pStyle w:val="SingleTxt"/>
        <w:spacing w:after="0" w:line="240" w:lineRule="auto"/>
        <w:rPr>
          <w:bCs/>
          <w:sz w:val="10"/>
          <w:lang w:val="es-ES_tradnl"/>
        </w:rPr>
      </w:pPr>
      <w:r w:rsidRPr="00F85BC3">
        <w:rPr>
          <w:b/>
          <w:lang w:val="es-ES_tradnl"/>
        </w:rPr>
        <w:tab/>
      </w:r>
    </w:p>
    <w:p w14:paraId="69FC56F3" w14:textId="7DC3947F" w:rsidR="00CB4701" w:rsidRPr="00F85BC3" w:rsidRDefault="00CB4701" w:rsidP="00F85BC3">
      <w:pPr>
        <w:pStyle w:val="SingleTxt"/>
        <w:spacing w:after="0" w:line="240" w:lineRule="auto"/>
        <w:rPr>
          <w:bCs/>
          <w:sz w:val="10"/>
          <w:lang w:val="es-ES_tradnl"/>
        </w:rPr>
      </w:pPr>
    </w:p>
    <w:p w14:paraId="10A08F62" w14:textId="34737BF8" w:rsidR="006873C8" w:rsidRPr="00F85BC3" w:rsidRDefault="006873C8" w:rsidP="006873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bCs/>
          <w:lang w:val="es-ES_tradnl"/>
        </w:rPr>
        <w:tab/>
        <w:t>D.</w:t>
      </w:r>
      <w:r w:rsidRPr="00F85BC3">
        <w:rPr>
          <w:lang w:val="es-ES_tradnl"/>
        </w:rPr>
        <w:tab/>
        <w:t>Asistencia</w:t>
      </w:r>
    </w:p>
    <w:p w14:paraId="4CFC1313" w14:textId="77777777" w:rsidR="006873C8" w:rsidRDefault="006873C8" w:rsidP="006873C8">
      <w:pPr>
        <w:pStyle w:val="SingleTxt"/>
        <w:spacing w:after="0" w:line="240" w:lineRule="auto"/>
        <w:rPr>
          <w:bCs/>
          <w:sz w:val="10"/>
          <w:lang w:val="es-ES_tradnl"/>
        </w:rPr>
      </w:pPr>
    </w:p>
    <w:p w14:paraId="55BAD446" w14:textId="77777777" w:rsidR="00F85BC3" w:rsidRPr="00F85BC3" w:rsidRDefault="00F85BC3" w:rsidP="006873C8">
      <w:pPr>
        <w:pStyle w:val="SingleTxt"/>
        <w:spacing w:after="0" w:line="240" w:lineRule="auto"/>
        <w:rPr>
          <w:bCs/>
          <w:sz w:val="10"/>
          <w:lang w:val="es-ES_tradnl"/>
        </w:rPr>
      </w:pPr>
    </w:p>
    <w:p w14:paraId="7D74AA39" w14:textId="34DCEF9B" w:rsidR="006873C8" w:rsidRPr="00F85BC3" w:rsidRDefault="002C1C56" w:rsidP="006873C8">
      <w:pPr>
        <w:pStyle w:val="SingleTxt"/>
        <w:spacing w:line="240" w:lineRule="auto"/>
        <w:rPr>
          <w:lang w:val="es-ES_tradnl"/>
        </w:rPr>
      </w:pPr>
      <w:bookmarkStart w:id="2" w:name="_Hlk137464329"/>
      <w:r w:rsidRPr="00F85BC3">
        <w:rPr>
          <w:lang w:val="es-ES_tradnl"/>
        </w:rPr>
        <w:t>6</w:t>
      </w:r>
      <w:r w:rsidR="006873C8" w:rsidRPr="00F85BC3">
        <w:rPr>
          <w:lang w:val="es-ES_tradnl"/>
        </w:rPr>
        <w:t>.</w:t>
      </w:r>
      <w:r w:rsidR="006873C8" w:rsidRPr="00F85BC3">
        <w:rPr>
          <w:lang w:val="es-ES_tradnl"/>
        </w:rPr>
        <w:tab/>
        <w:t xml:space="preserve">Asistieron al período de sesiones representantes de los siguientes […] Estados miembros de la Comisión: </w:t>
      </w:r>
      <w:bookmarkEnd w:id="2"/>
      <w:r w:rsidR="00CB4701" w:rsidRPr="00F85BC3">
        <w:rPr>
          <w:lang w:val="es-ES_tradnl"/>
        </w:rPr>
        <w:t>Alemania, Arabia Saudita,</w:t>
      </w:r>
      <w:r w:rsidR="004E28E6">
        <w:rPr>
          <w:lang w:val="es-ES_tradnl"/>
        </w:rPr>
        <w:t xml:space="preserve"> </w:t>
      </w:r>
      <w:r w:rsidR="00CB4701" w:rsidRPr="00F85BC3">
        <w:rPr>
          <w:lang w:val="es-ES_tradnl"/>
        </w:rPr>
        <w:t>Argentina, Armenia, Australia, Austria, Bahrein, Belarús, Bélgica, Bolivia (Estado Plurinacional de), Brasil, Bulgaria, Burkina Faso, Canadá, Chad, Chequia, Chile, China, Colombia, Costa Rica, Cuba, Dinamarca, Ecuador, Egipto, El Salvador, Emiratos Árabes Unidos, Eslovaquia, Eslovenia, España, Estados Unidos, Federación de Rusia, Filipinas, Finlandia, Francia, Ghana, Grecia, Guatemala, Hungría, India, Indonesia, Irán (República Islámica del), Israel, Italia, Japón, Kazajstán, Kenya, Kuwait, Letonia, Luxemburgo, Malasia, Marruecos, México, Mongolia, Nigeria, Noruega, Nueva Zelandia, Omán, Países Bajos (Reino de los), Pakistán, Panamá, Paraguay, Perú, Polonia, Portugal, Qatar, Reino Unido, República Árabe Siria, República de Corea, República Dominicana, Rumanía, Singapur, Sudáfrica, Suecia, Suiza, Tailandia, Türkiye, Ucrania, Uruguay y Venezuela (República Bolivariana de)</w:t>
      </w:r>
      <w:r w:rsidR="006873C8" w:rsidRPr="00F85BC3">
        <w:rPr>
          <w:lang w:val="es-ES_tradnl"/>
        </w:rPr>
        <w:t>.</w:t>
      </w:r>
    </w:p>
    <w:p w14:paraId="7FB3433D" w14:textId="7DEB998B" w:rsidR="006873C8" w:rsidRPr="00F85BC3" w:rsidRDefault="00696F0F" w:rsidP="006873C8">
      <w:pPr>
        <w:pStyle w:val="SingleTxt"/>
        <w:spacing w:line="240" w:lineRule="auto"/>
        <w:rPr>
          <w:lang w:val="es-ES_tradnl"/>
        </w:rPr>
      </w:pPr>
      <w:r w:rsidRPr="00F85BC3">
        <w:rPr>
          <w:lang w:val="es-ES_tradnl"/>
        </w:rPr>
        <w:lastRenderedPageBreak/>
        <w:t>7.</w:t>
      </w:r>
      <w:r w:rsidRPr="00F85BC3">
        <w:rPr>
          <w:lang w:val="es-ES_tradnl"/>
        </w:rPr>
        <w:tab/>
      </w:r>
      <w:r w:rsidR="006873C8" w:rsidRPr="00F85BC3">
        <w:rPr>
          <w:lang w:val="es-ES_tradnl"/>
        </w:rPr>
        <w:t xml:space="preserve">Asistieron al período de sesiones representantes de la Unión Europea, en su calidad de observadora permanente ante la Comisión, de conformidad con las resoluciones </w:t>
      </w:r>
      <w:hyperlink r:id="rId39" w:history="1">
        <w:r w:rsidR="006873C8" w:rsidRPr="00F85BC3">
          <w:rPr>
            <w:rStyle w:val="Hyperlink"/>
            <w:lang w:val="es-ES_tradnl"/>
          </w:rPr>
          <w:t>65/276</w:t>
        </w:r>
      </w:hyperlink>
      <w:r w:rsidR="006873C8" w:rsidRPr="00F85BC3">
        <w:rPr>
          <w:lang w:val="es-ES_tradnl"/>
        </w:rPr>
        <w:t xml:space="preserve"> y </w:t>
      </w:r>
      <w:hyperlink r:id="rId40" w:history="1">
        <w:r w:rsidR="006873C8" w:rsidRPr="00F85BC3">
          <w:rPr>
            <w:rStyle w:val="Hyperlink"/>
            <w:lang w:val="es-ES_tradnl"/>
          </w:rPr>
          <w:t>73/91</w:t>
        </w:r>
      </w:hyperlink>
      <w:r w:rsidR="006873C8" w:rsidRPr="00F85BC3">
        <w:rPr>
          <w:lang w:val="es-ES_tradnl"/>
        </w:rPr>
        <w:t xml:space="preserve"> de la Asamblea General.</w:t>
      </w:r>
    </w:p>
    <w:p w14:paraId="1B278927" w14:textId="1BDB3F0B" w:rsidR="006873C8" w:rsidRPr="00F85BC3" w:rsidRDefault="00696F0F" w:rsidP="006873C8">
      <w:pPr>
        <w:pStyle w:val="SingleTxt"/>
        <w:spacing w:line="240" w:lineRule="auto"/>
        <w:rPr>
          <w:lang w:val="es-ES_tradnl"/>
        </w:rPr>
      </w:pPr>
      <w:r w:rsidRPr="00F85BC3">
        <w:rPr>
          <w:lang w:val="es-ES_tradnl"/>
        </w:rPr>
        <w:t>8</w:t>
      </w:r>
      <w:r w:rsidR="006873C8" w:rsidRPr="00F85BC3">
        <w:rPr>
          <w:lang w:val="es-ES_tradnl"/>
        </w:rPr>
        <w:t>.</w:t>
      </w:r>
      <w:r w:rsidR="006873C8" w:rsidRPr="00F85BC3">
        <w:rPr>
          <w:lang w:val="es-ES_tradnl"/>
        </w:rPr>
        <w:tab/>
        <w:t xml:space="preserve">En su 834ª sesión, la Comisión decidió admitir como observadores, a solicitud de esos Estados, a </w:t>
      </w:r>
      <w:r w:rsidR="00CB4701" w:rsidRPr="00F85BC3">
        <w:rPr>
          <w:lang w:val="es-ES_tradnl"/>
        </w:rPr>
        <w:t>Camboya, Côte d'Ivoire, Honduras, Maldivas, Malta, la República de Moldova, la República Democrática Popular Lao, Serbia y Uganda,</w:t>
      </w:r>
      <w:r w:rsidR="006873C8" w:rsidRPr="00F85BC3">
        <w:rPr>
          <w:lang w:val="es-ES_tradnl"/>
        </w:rPr>
        <w:t xml:space="preserve"> para que asistieran al período de sesiones e hicieran uso de la palabra en él, según procediera, en el entendimiento de que ello no prejuzgaría futuras solicitudes de esa índole ni entrañaría decisión alguna de la Comisión respecto de la condición de los solicitantes.</w:t>
      </w:r>
    </w:p>
    <w:p w14:paraId="56C558BC" w14:textId="4EE7D77B" w:rsidR="006873C8" w:rsidRPr="00F85BC3" w:rsidRDefault="00696F0F" w:rsidP="006873C8">
      <w:pPr>
        <w:pStyle w:val="SingleTxt"/>
        <w:spacing w:line="240" w:lineRule="auto"/>
        <w:rPr>
          <w:lang w:val="es-ES_tradnl"/>
        </w:rPr>
      </w:pPr>
      <w:r w:rsidRPr="00F85BC3">
        <w:rPr>
          <w:lang w:val="es-ES_tradnl"/>
        </w:rPr>
        <w:t>9</w:t>
      </w:r>
      <w:r w:rsidR="006873C8" w:rsidRPr="00F85BC3">
        <w:rPr>
          <w:lang w:val="es-ES_tradnl"/>
        </w:rPr>
        <w:t>.</w:t>
      </w:r>
      <w:r w:rsidR="006873C8" w:rsidRPr="00F85BC3">
        <w:rPr>
          <w:lang w:val="es-ES_tradnl"/>
        </w:rPr>
        <w:tab/>
        <w:t>En la misma sesión, la Comisión examinó la solicitud de Myanmar de asistir al período de sesiones. La Comisión recordó la práctica de otros órganos de las Naciones</w:t>
      </w:r>
      <w:r w:rsidR="00CB4701" w:rsidRPr="00F85BC3">
        <w:rPr>
          <w:lang w:val="es-ES_tradnl"/>
        </w:rPr>
        <w:t> </w:t>
      </w:r>
      <w:r w:rsidR="006873C8" w:rsidRPr="00F85BC3">
        <w:rPr>
          <w:lang w:val="es-ES_tradnl"/>
        </w:rPr>
        <w:t>Unidas en situaciones similares en las que se habían presentado credenciales concurrentes y acordó aplazar la decisión sobre las credenciales de Myanmar hasta recibir orientación de la Comisión de Verificación de Poderes de la Asamblea General.</w:t>
      </w:r>
    </w:p>
    <w:p w14:paraId="6BEA0DA5" w14:textId="316791BC" w:rsidR="006873C8" w:rsidRPr="00F85BC3" w:rsidRDefault="00696F0F" w:rsidP="006873C8">
      <w:pPr>
        <w:pStyle w:val="SingleTxt"/>
        <w:spacing w:line="240" w:lineRule="auto"/>
        <w:rPr>
          <w:lang w:val="es-ES_tradnl"/>
        </w:rPr>
      </w:pPr>
      <w:r w:rsidRPr="00F85BC3">
        <w:rPr>
          <w:lang w:val="es-ES_tradnl"/>
        </w:rPr>
        <w:t>10</w:t>
      </w:r>
      <w:r w:rsidR="006873C8" w:rsidRPr="00F85BC3">
        <w:rPr>
          <w:lang w:val="es-ES_tradnl"/>
        </w:rPr>
        <w:t>.</w:t>
      </w:r>
      <w:r w:rsidR="006873C8" w:rsidRPr="00F85BC3">
        <w:rPr>
          <w:lang w:val="es-ES_tradnl"/>
        </w:rPr>
        <w:tab/>
        <w:t>También en la misma sesión, la Comisión decidió admitir como observador, a solicitud de ese Estado, a la Santa Sede, para que asistiera al período de sesiones e hiciera uso de la palabra en él, según procediera, en el entendimiento de que ello no prejuzgaría futuras solicitudes de esa índole ni entrañaría decisión alguna de la Comisión respecto de la condición del solicitante.</w:t>
      </w:r>
    </w:p>
    <w:p w14:paraId="0D1A5B9F" w14:textId="7BA620A3"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1</w:t>
      </w:r>
      <w:r w:rsidRPr="00F85BC3">
        <w:rPr>
          <w:lang w:val="es-ES_tradnl"/>
        </w:rPr>
        <w:t>.</w:t>
      </w:r>
      <w:r w:rsidRPr="00F85BC3">
        <w:rPr>
          <w:lang w:val="es-ES_tradnl"/>
        </w:rPr>
        <w:tab/>
        <w:t>En su 835ª sesión, celebrada el 25 de junio, la Comisión decidió admitir como observadora, a solicitud de esa organización, a la Liga de los Estados Árabes para que asistiera al período de sesiones e hiciera uso de la palabra en él, según procediera, en el entendimiento de que ello no prejuzgaría futuras solicitudes de esa índole ni entrañaría decisión alguna de la Comisión respecto de la condición de la entidad solicitante.</w:t>
      </w:r>
    </w:p>
    <w:p w14:paraId="47398CCC" w14:textId="007D5CBC"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2</w:t>
      </w:r>
      <w:r w:rsidRPr="00F85BC3">
        <w:rPr>
          <w:lang w:val="es-ES_tradnl"/>
        </w:rPr>
        <w:t>.</w:t>
      </w:r>
      <w:r w:rsidRPr="00F85BC3">
        <w:rPr>
          <w:lang w:val="es-ES_tradnl"/>
        </w:rPr>
        <w:tab/>
        <w:t>Asistieron al período de sesiones observadores de la Comisión Económica y Social para Asia y el Pacífico, el Organismo Internacional de Energía Atómica, la Organización de Aviación Civil Internacional</w:t>
      </w:r>
      <w:r w:rsidR="00CB4701" w:rsidRPr="00F85BC3">
        <w:rPr>
          <w:lang w:val="es-ES_tradnl"/>
        </w:rPr>
        <w:t xml:space="preserve"> y</w:t>
      </w:r>
      <w:r w:rsidRPr="00F85BC3">
        <w:rPr>
          <w:lang w:val="es-ES_tradnl"/>
        </w:rPr>
        <w:t xml:space="preserve"> la Organización de las Naciones Unidas para la Alimentación y la Agricultura.</w:t>
      </w:r>
    </w:p>
    <w:p w14:paraId="05DB4422" w14:textId="39B4DB59"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3</w:t>
      </w:r>
      <w:r w:rsidRPr="00F85BC3">
        <w:rPr>
          <w:lang w:val="es-ES_tradnl"/>
        </w:rPr>
        <w:t>.</w:t>
      </w:r>
      <w:r w:rsidRPr="00F85BC3">
        <w:rPr>
          <w:lang w:val="es-ES_tradnl"/>
        </w:rPr>
        <w:tab/>
        <w:t>Asistieron también al período de sesiones observadores de las siguientes organizaciones intergubernamentales que gozan de la condición de observadoras permanentes ante la Comisión: Agencia Espacial Europea (ESA), Centro Regional de Teleobservación de los Estados de África Septentrional, Comité sobre Satélites de Observación de la Tierra (CEOS), Organización de Cooperación Espacial de Asia y el Pacífico (APSCO), Organización Europea de Telecomunicaciones por Satélite, Organización Europea para la Investigación Astronómica en el Hemisferio Austral (ESO), Organización Internacional de Telecomunicaciones Cósmicas (Intersputnik), Red Interislámica de Ciencia y Tecnología Espaciales (ISNET) y Square Kilometre Array Observatory.</w:t>
      </w:r>
    </w:p>
    <w:p w14:paraId="47D16D8B" w14:textId="0DAE2BF5"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4</w:t>
      </w:r>
      <w:r w:rsidRPr="00F85BC3">
        <w:rPr>
          <w:lang w:val="es-ES_tradnl"/>
        </w:rPr>
        <w:t>.</w:t>
      </w:r>
      <w:r w:rsidRPr="00F85BC3">
        <w:rPr>
          <w:lang w:val="es-ES_tradnl"/>
        </w:rPr>
        <w:tab/>
        <w:t>En su 834ª sesión, la Comisión decidió admitir como observadora, a solicitud de esa organización, a la Agencia Espacial Africana, para que asistiera al período de sesiones e hiciera uso de la palabra en él, según procediera, en el entendimiento de que ello no prejuzgaría futuras solicitudes de esa índole ni entrañaría decisión alguna de la Comisión respecto de la condición de la entidad solicitante.</w:t>
      </w:r>
    </w:p>
    <w:p w14:paraId="4864593E" w14:textId="6F0DDE77"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5</w:t>
      </w:r>
      <w:r w:rsidRPr="00F85BC3">
        <w:rPr>
          <w:lang w:val="es-ES_tradnl"/>
        </w:rPr>
        <w:t>.</w:t>
      </w:r>
      <w:r w:rsidRPr="00F85BC3">
        <w:rPr>
          <w:lang w:val="es-ES_tradnl"/>
        </w:rPr>
        <w:tab/>
        <w:t>Asistió al período de sesiones la observadora de la Red para el Espacio y la Salud Mundial, conforme a lo acordado por la Subcomisión de Asuntos Científicos y Técnicos en su 60º período de sesiones (</w:t>
      </w:r>
      <w:hyperlink r:id="rId41" w:history="1">
        <w:r w:rsidRPr="00F85BC3">
          <w:rPr>
            <w:rStyle w:val="Hyperlink"/>
            <w:lang w:val="es-ES_tradnl"/>
          </w:rPr>
          <w:t>A/AC.105/1279</w:t>
        </w:r>
      </w:hyperlink>
      <w:r w:rsidRPr="00F85BC3">
        <w:rPr>
          <w:lang w:val="es-ES_tradnl"/>
        </w:rPr>
        <w:t>, párr. 238).</w:t>
      </w:r>
    </w:p>
    <w:p w14:paraId="4CC08101" w14:textId="04D6C120" w:rsidR="006873C8" w:rsidRPr="00F85BC3" w:rsidRDefault="006873C8" w:rsidP="006873C8">
      <w:pPr>
        <w:pStyle w:val="SingleTxt"/>
        <w:spacing w:line="240" w:lineRule="auto"/>
        <w:rPr>
          <w:lang w:val="es-ES_tradnl"/>
        </w:rPr>
      </w:pPr>
      <w:r w:rsidRPr="00F85BC3">
        <w:rPr>
          <w:lang w:val="es-ES_tradnl"/>
        </w:rPr>
        <w:t>1</w:t>
      </w:r>
      <w:r w:rsidR="00696F0F" w:rsidRPr="00F85BC3">
        <w:rPr>
          <w:lang w:val="es-ES_tradnl"/>
        </w:rPr>
        <w:t>6</w:t>
      </w:r>
      <w:r w:rsidRPr="00F85BC3">
        <w:rPr>
          <w:lang w:val="es-ES_tradnl"/>
        </w:rPr>
        <w:t>.</w:t>
      </w:r>
      <w:r w:rsidRPr="00F85BC3">
        <w:rPr>
          <w:lang w:val="es-ES_tradnl"/>
        </w:rPr>
        <w:tab/>
        <w:t xml:space="preserve">Asistieron también al período de sesiones observadores de las siguientes organizaciones no gubernamentales que gozan de la condición de observadoras permanente ante la Comisión: Asociación de la Semana Mundial del Espacio, CANEUS International, Comité de Investigaciones Espaciales (COSPAR), Consorcio Universitario de Ingeniería Espacial-Global (UNISEC-Global), Federación Astronáutica Internacional, For All Moonkind, Global Satellite Operators Association, Instituto Europeo de Política Espacial (ESPI), International Academy of Astronautics (IAA), International Institute of Space Law (IISL), International Peace Alliance (Space), Moon Village Association, National Space Society (NSS), Open Lunar Foundation, Outer Space Institute, Premio Internacional del Agua Príncipe Sultán bin Abdulaziz, Secure World Foundation (SWF), Sociedad Astronómica Europea, Space Generation </w:t>
      </w:r>
      <w:r w:rsidRPr="00F85BC3">
        <w:rPr>
          <w:lang w:val="es-ES_tradnl"/>
        </w:rPr>
        <w:lastRenderedPageBreak/>
        <w:t>Advisory Council (SGAC), Three Country – Trusted Broker y Unión Astronómica Internacional (UAI).</w:t>
      </w:r>
    </w:p>
    <w:p w14:paraId="1021E945" w14:textId="109EF36A" w:rsidR="006873C8" w:rsidRPr="00F85BC3" w:rsidRDefault="006873C8" w:rsidP="006873C8">
      <w:pPr>
        <w:pStyle w:val="SingleTxt"/>
        <w:spacing w:line="240" w:lineRule="auto"/>
        <w:rPr>
          <w:bCs/>
          <w:lang w:val="es-ES_tradnl"/>
        </w:rPr>
      </w:pPr>
      <w:r w:rsidRPr="00F85BC3">
        <w:rPr>
          <w:lang w:val="es-ES_tradnl"/>
        </w:rPr>
        <w:t>17.</w:t>
      </w:r>
      <w:r w:rsidRPr="00F85BC3">
        <w:rPr>
          <w:lang w:val="es-ES_tradnl"/>
        </w:rPr>
        <w:tab/>
        <w:t>En su 834ª sesión, la Comisión decidió admitir como observadoras, a solicitud de esas organizaciones, a Alliance for Collaboration in the Exploration of Space (ACES Worldwide), Lunar Policy Platform Foundation y Women in Aerospace Europe, para que asistieran al período de sesiones e hicieran uso de la palabra en él, según procediera, en el entendimiento de que ello no prejuzgaría futuras solicitudes de esa índole ni entrañaría decisión alguna de la Comisión respecto de la condición de los solicitantes.</w:t>
      </w:r>
    </w:p>
    <w:p w14:paraId="7FFEB0BD" w14:textId="16066DB2" w:rsidR="006873C8" w:rsidRPr="00F85BC3" w:rsidRDefault="006873C8" w:rsidP="006873C8">
      <w:pPr>
        <w:pStyle w:val="SingleTxt"/>
        <w:spacing w:line="240" w:lineRule="auto"/>
        <w:rPr>
          <w:lang w:val="es-ES_tradnl"/>
        </w:rPr>
      </w:pPr>
      <w:r w:rsidRPr="00F85BC3">
        <w:rPr>
          <w:lang w:val="es-ES_tradnl"/>
        </w:rPr>
        <w:t>18.</w:t>
      </w:r>
      <w:r w:rsidRPr="00F85BC3">
        <w:rPr>
          <w:lang w:val="es-ES_tradnl"/>
        </w:rPr>
        <w:tab/>
        <w:t xml:space="preserve">En el documento </w:t>
      </w:r>
      <w:hyperlink r:id="rId42" w:history="1">
        <w:r w:rsidRPr="00F85BC3">
          <w:rPr>
            <w:rStyle w:val="Hyperlink"/>
            <w:lang w:val="es-ES_tradnl"/>
          </w:rPr>
          <w:t>A/AC.105/2025/INF/1</w:t>
        </w:r>
      </w:hyperlink>
      <w:r w:rsidRPr="00F85BC3">
        <w:rPr>
          <w:lang w:val="es-ES_tradnl"/>
        </w:rPr>
        <w:t xml:space="preserve"> figura una lista de representantes de los Estados miembros de la Comisión, de las entidades de las Naciones Unidas y de otras organizaciones que asistieron al período de sesiones.</w:t>
      </w:r>
    </w:p>
    <w:p w14:paraId="70819E69" w14:textId="77777777" w:rsidR="006873C8" w:rsidRPr="00F85BC3" w:rsidRDefault="006873C8" w:rsidP="006873C8">
      <w:pPr>
        <w:pStyle w:val="SingleTxt"/>
        <w:spacing w:after="0" w:line="240" w:lineRule="auto"/>
        <w:rPr>
          <w:bCs/>
          <w:sz w:val="10"/>
          <w:lang w:val="es-ES_tradnl"/>
        </w:rPr>
      </w:pPr>
    </w:p>
    <w:p w14:paraId="37A7044D" w14:textId="77777777" w:rsidR="006873C8" w:rsidRPr="00F85BC3" w:rsidRDefault="006873C8" w:rsidP="006873C8">
      <w:pPr>
        <w:pStyle w:val="SingleTxt"/>
        <w:spacing w:after="0" w:line="240" w:lineRule="auto"/>
        <w:rPr>
          <w:bCs/>
          <w:sz w:val="10"/>
          <w:lang w:val="es-ES_tradnl"/>
        </w:rPr>
      </w:pPr>
    </w:p>
    <w:p w14:paraId="1D5CD604" w14:textId="2B3EBBDC" w:rsidR="006873C8" w:rsidRPr="00F85BC3" w:rsidRDefault="006873C8" w:rsidP="006873C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F85BC3">
        <w:rPr>
          <w:lang w:val="es-ES_tradnl"/>
        </w:rPr>
        <w:tab/>
        <w:t>F.</w:t>
      </w:r>
      <w:r w:rsidRPr="00F85BC3">
        <w:rPr>
          <w:lang w:val="es-ES_tradnl"/>
        </w:rPr>
        <w:tab/>
        <w:t>Aprobación del informe de la Comisión</w:t>
      </w:r>
    </w:p>
    <w:p w14:paraId="0D8B1B57" w14:textId="77777777" w:rsidR="006873C8" w:rsidRPr="00F85BC3" w:rsidRDefault="006873C8" w:rsidP="006873C8">
      <w:pPr>
        <w:pStyle w:val="SingleTxt"/>
        <w:spacing w:after="0" w:line="240" w:lineRule="auto"/>
        <w:rPr>
          <w:bCs/>
          <w:sz w:val="10"/>
          <w:lang w:val="es-ES_tradnl"/>
        </w:rPr>
      </w:pPr>
    </w:p>
    <w:p w14:paraId="2CA4A1D0" w14:textId="77777777" w:rsidR="006873C8" w:rsidRPr="00F85BC3" w:rsidRDefault="006873C8" w:rsidP="006873C8">
      <w:pPr>
        <w:pStyle w:val="SingleTxt"/>
        <w:spacing w:after="0" w:line="240" w:lineRule="auto"/>
        <w:rPr>
          <w:bCs/>
          <w:sz w:val="10"/>
          <w:lang w:val="es-ES_tradnl"/>
        </w:rPr>
      </w:pPr>
    </w:p>
    <w:p w14:paraId="42E06DCC" w14:textId="494C58AD" w:rsidR="006873C8" w:rsidRPr="00F85BC3" w:rsidRDefault="006873C8" w:rsidP="006873C8">
      <w:pPr>
        <w:pStyle w:val="SingleTxt"/>
        <w:spacing w:line="240" w:lineRule="auto"/>
        <w:rPr>
          <w:bCs/>
          <w:lang w:val="es-ES_tradnl"/>
        </w:rPr>
      </w:pPr>
      <w:r w:rsidRPr="00F85BC3">
        <w:rPr>
          <w:lang w:val="es-ES_tradnl"/>
        </w:rPr>
        <w:t>19.</w:t>
      </w:r>
      <w:r w:rsidRPr="00F85BC3">
        <w:rPr>
          <w:lang w:val="es-ES_tradnl"/>
        </w:rPr>
        <w:tab/>
        <w:t>Tras examinar los diversos temas del programa sometidos a su consideración, la Comisión, en su [...] sesión, celebrada el [...] de julio de 2025, aprobó su informe a la Asamblea General, que contenía las recomendaciones y decisiones que figuran a continuación.</w:t>
      </w:r>
    </w:p>
    <w:p w14:paraId="79461550" w14:textId="569B9F65" w:rsidR="006873C8" w:rsidRPr="00F85BC3" w:rsidRDefault="006873C8" w:rsidP="006873C8">
      <w:pPr>
        <w:pStyle w:val="SingleTxt"/>
        <w:spacing w:line="240" w:lineRule="auto"/>
        <w:rPr>
          <w:lang w:val="es-ES_tradnl"/>
        </w:rPr>
      </w:pPr>
      <w:r w:rsidRPr="00F85BC3">
        <w:rPr>
          <w:noProof/>
          <w:lang w:val="es-ES_tradnl"/>
        </w:rPr>
        <mc:AlternateContent>
          <mc:Choice Requires="wps">
            <w:drawing>
              <wp:anchor distT="4294967295" distB="4294967295" distL="114300" distR="114300" simplePos="0" relativeHeight="251659264" behindDoc="0" locked="0" layoutInCell="1" allowOverlap="1" wp14:anchorId="17AEDB64" wp14:editId="2A2352F6">
                <wp:simplePos x="0" y="0"/>
                <wp:positionH relativeFrom="column">
                  <wp:posOffset>2669540</wp:posOffset>
                </wp:positionH>
                <wp:positionV relativeFrom="paragraph">
                  <wp:posOffset>304799</wp:posOffset>
                </wp:positionV>
                <wp:extent cx="914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1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0ABC41"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" strokecolor="#010000" strokeweight=".25pt"/>
            </w:pict>
          </mc:Fallback>
        </mc:AlternateContent>
      </w:r>
    </w:p>
    <w:sectPr w:rsidR="006873C8" w:rsidRPr="00F85BC3" w:rsidSect="00C862B8">
      <w:endnotePr>
        <w:numFmt w:val="decimal"/>
      </w:endnotePr>
      <w:type w:val="continuous"/>
      <w:pgSz w:w="11909" w:h="16834"/>
      <w:pgMar w:top="1440" w:right="935" w:bottom="1151" w:left="935"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6-27T15:40:00Z" w:initials="Start">
    <w:p w14:paraId="0DCD3460" w14:textId="77777777" w:rsidR="00C862B8" w:rsidRPr="006A5587" w:rsidRDefault="00C862B8">
      <w:pPr>
        <w:pStyle w:val="CommentText"/>
        <w:rPr>
          <w:lang w:val="en-US"/>
        </w:rPr>
      </w:pPr>
      <w:r>
        <w:rPr>
          <w:rStyle w:val="CommentReference"/>
        </w:rPr>
        <w:annotationRef/>
      </w:r>
      <w:r w:rsidRPr="006A5587">
        <w:rPr>
          <w:lang w:val="en-US"/>
        </w:rPr>
        <w:t>&lt;&lt;ODS JOB NO&gt;&gt;V2504595S&lt;&lt;ODS JOB NO&gt;&gt;</w:t>
      </w:r>
    </w:p>
    <w:p w14:paraId="1E3DB7C3" w14:textId="77777777" w:rsidR="00C862B8" w:rsidRPr="00D8611F" w:rsidRDefault="00C862B8">
      <w:pPr>
        <w:pStyle w:val="CommentText"/>
        <w:rPr>
          <w:lang w:val="en-US"/>
        </w:rPr>
      </w:pPr>
      <w:r w:rsidRPr="00D8611F">
        <w:rPr>
          <w:lang w:val="en-US"/>
        </w:rPr>
        <w:t>&lt;&lt;ODS DOC SYMBOL1&gt;&gt;A/AC.105/L.340&lt;&lt;ODS DOC SYMBOL1&gt;&gt;</w:t>
      </w:r>
    </w:p>
    <w:p w14:paraId="6C8A85B5" w14:textId="40BF7135" w:rsidR="00C862B8" w:rsidRPr="00D8611F" w:rsidRDefault="00C862B8">
      <w:pPr>
        <w:pStyle w:val="CommentText"/>
        <w:rPr>
          <w:lang w:val="en-US"/>
        </w:rPr>
      </w:pPr>
      <w:r w:rsidRPr="00D8611F">
        <w:rPr>
          <w:lang w:val="en-US"/>
        </w:rP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A8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AE655F" w16cex:dateUtc="2025-06-27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A85B5" w16cid:durableId="6CAE65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5A38" w14:textId="77777777" w:rsidR="00E809BA" w:rsidRDefault="00E809BA" w:rsidP="00331D20">
      <w:r>
        <w:separator/>
      </w:r>
    </w:p>
  </w:endnote>
  <w:endnote w:type="continuationSeparator" w:id="0">
    <w:p w14:paraId="2E303A71" w14:textId="77777777" w:rsidR="00E809BA" w:rsidRDefault="00E809BA"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CellMar>
        <w:left w:w="70" w:type="dxa"/>
        <w:right w:w="70" w:type="dxa"/>
      </w:tblCellMar>
      <w:tblLook w:val="0000" w:firstRow="0" w:lastRow="0" w:firstColumn="0" w:lastColumn="0" w:noHBand="0" w:noVBand="0"/>
    </w:tblPr>
    <w:tblGrid>
      <w:gridCol w:w="5019"/>
      <w:gridCol w:w="5020"/>
    </w:tblGrid>
    <w:tr w:rsidR="00C862B8" w14:paraId="096BC02D" w14:textId="77777777" w:rsidTr="00C862B8">
      <w:trPr>
        <w:jc w:val="center"/>
      </w:trPr>
      <w:tc>
        <w:tcPr>
          <w:tcW w:w="5019" w:type="dxa"/>
          <w:shd w:val="clear" w:color="auto" w:fill="auto"/>
        </w:tcPr>
        <w:p w14:paraId="5215EA85" w14:textId="7BC010F5" w:rsidR="00C862B8" w:rsidRPr="00C862B8" w:rsidRDefault="00C862B8" w:rsidP="00C862B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D8611F">
            <w:rPr>
              <w:b w:val="0"/>
              <w:color w:val="000000"/>
              <w:w w:val="103"/>
              <w:sz w:val="14"/>
            </w:rPr>
            <w:t>V.25-10404</w:t>
          </w:r>
          <w:r>
            <w:rPr>
              <w:b w:val="0"/>
              <w:color w:val="000000"/>
              <w:w w:val="103"/>
              <w:sz w:val="14"/>
            </w:rPr>
            <w:fldChar w:fldCharType="end"/>
          </w:r>
        </w:p>
      </w:tc>
      <w:tc>
        <w:tcPr>
          <w:tcW w:w="5020" w:type="dxa"/>
          <w:shd w:val="clear" w:color="auto" w:fill="auto"/>
        </w:tcPr>
        <w:p w14:paraId="2DD2C211" w14:textId="76B95450" w:rsidR="00C862B8" w:rsidRPr="00C862B8" w:rsidRDefault="00C862B8" w:rsidP="00C862B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Pr>
              <w:color w:val="000000"/>
              <w:w w:val="103"/>
            </w:rPr>
            <w:t>4</w:t>
          </w:r>
          <w:r>
            <w:rPr>
              <w:color w:val="000000"/>
              <w:w w:val="103"/>
            </w:rPr>
            <w:fldChar w:fldCharType="end"/>
          </w:r>
        </w:p>
      </w:tc>
    </w:tr>
  </w:tbl>
  <w:p w14:paraId="645D4909" w14:textId="77777777" w:rsidR="00C862B8" w:rsidRPr="00C862B8" w:rsidRDefault="00C862B8" w:rsidP="00C8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jc w:val="center"/>
      <w:tblLayout w:type="fixed"/>
      <w:tblCellMar>
        <w:left w:w="70" w:type="dxa"/>
        <w:right w:w="70" w:type="dxa"/>
      </w:tblCellMar>
      <w:tblLook w:val="0000" w:firstRow="0" w:lastRow="0" w:firstColumn="0" w:lastColumn="0" w:noHBand="0" w:noVBand="0"/>
    </w:tblPr>
    <w:tblGrid>
      <w:gridCol w:w="5019"/>
      <w:gridCol w:w="5020"/>
    </w:tblGrid>
    <w:tr w:rsidR="00C862B8" w14:paraId="227CC744" w14:textId="77777777" w:rsidTr="00C862B8">
      <w:trPr>
        <w:jc w:val="center"/>
      </w:trPr>
      <w:tc>
        <w:tcPr>
          <w:tcW w:w="5019" w:type="dxa"/>
          <w:shd w:val="clear" w:color="auto" w:fill="auto"/>
        </w:tcPr>
        <w:p w14:paraId="0240AE85" w14:textId="26698919" w:rsidR="00C862B8" w:rsidRPr="00C862B8" w:rsidRDefault="00C862B8" w:rsidP="00C862B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Pr>
              <w:color w:val="000000"/>
              <w:w w:val="103"/>
            </w:rPr>
            <w:t>4</w:t>
          </w:r>
          <w:r>
            <w:rPr>
              <w:color w:val="000000"/>
              <w:w w:val="103"/>
            </w:rPr>
            <w:fldChar w:fldCharType="end"/>
          </w:r>
        </w:p>
      </w:tc>
      <w:tc>
        <w:tcPr>
          <w:tcW w:w="5020" w:type="dxa"/>
          <w:shd w:val="clear" w:color="auto" w:fill="auto"/>
        </w:tcPr>
        <w:p w14:paraId="0673C5ED" w14:textId="40304D5A" w:rsidR="00C862B8" w:rsidRPr="00C862B8" w:rsidRDefault="00C862B8" w:rsidP="00C862B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D8611F">
            <w:rPr>
              <w:b w:val="0"/>
              <w:color w:val="000000"/>
              <w:w w:val="103"/>
              <w:sz w:val="14"/>
            </w:rPr>
            <w:t>V.25-10404</w:t>
          </w:r>
          <w:r>
            <w:rPr>
              <w:b w:val="0"/>
              <w:color w:val="000000"/>
              <w:w w:val="103"/>
              <w:sz w:val="14"/>
            </w:rPr>
            <w:fldChar w:fldCharType="end"/>
          </w:r>
        </w:p>
      </w:tc>
    </w:tr>
  </w:tbl>
  <w:p w14:paraId="6C7DB87E" w14:textId="77777777" w:rsidR="00C862B8" w:rsidRPr="00C862B8" w:rsidRDefault="00C862B8" w:rsidP="00C86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3855"/>
      <w:gridCol w:w="5020"/>
    </w:tblGrid>
    <w:tr w:rsidR="00C862B8" w14:paraId="40370341" w14:textId="77777777" w:rsidTr="00C862B8">
      <w:tc>
        <w:tcPr>
          <w:tcW w:w="3855" w:type="dxa"/>
        </w:tcPr>
        <w:p w14:paraId="2CFAE2B0" w14:textId="7E02F0B8" w:rsidR="00C862B8" w:rsidRDefault="00C862B8" w:rsidP="00C862B8">
          <w:pPr>
            <w:pStyle w:val="ReleaseDate"/>
          </w:pPr>
          <w:r>
            <w:t>V.25-10404 (S)    270625    270625</w:t>
          </w:r>
        </w:p>
        <w:p w14:paraId="39E804A4" w14:textId="2FD7477D" w:rsidR="00C862B8" w:rsidRPr="00C862B8" w:rsidRDefault="00C862B8" w:rsidP="00C862B8">
          <w:pPr>
            <w:pStyle w:val="Footer"/>
            <w:spacing w:before="120" w:line="210" w:lineRule="exact"/>
            <w:rPr>
              <w:rFonts w:ascii="Barcode 3 of 9 by request" w:hAnsi="Barcode 3 of 9 by request"/>
              <w:b w:val="0"/>
              <w:sz w:val="24"/>
              <w:lang w:val="es-ES"/>
            </w:rPr>
          </w:pPr>
          <w:r>
            <w:rPr>
              <w:rFonts w:ascii="Barcode 3 of 9 by request" w:hAnsi="Barcode 3 of 9 by request"/>
              <w:sz w:val="24"/>
              <w:lang w:val="es-ES"/>
            </w:rPr>
            <w:t>*2510404*</w:t>
          </w:r>
        </w:p>
      </w:tc>
      <w:tc>
        <w:tcPr>
          <w:tcW w:w="5020" w:type="dxa"/>
        </w:tcPr>
        <w:p w14:paraId="1506C818" w14:textId="1E1C690E" w:rsidR="00C862B8" w:rsidRDefault="00C862B8" w:rsidP="00C862B8">
          <w:pPr>
            <w:pStyle w:val="Footer"/>
            <w:jc w:val="right"/>
            <w:rPr>
              <w:b w:val="0"/>
              <w:sz w:val="20"/>
            </w:rPr>
          </w:pPr>
          <w:r>
            <w:rPr>
              <w:b w:val="0"/>
              <w:sz w:val="20"/>
            </w:rPr>
            <w:drawing>
              <wp:inline distT="0" distB="0" distL="0" distR="0" wp14:anchorId="42F6F54F" wp14:editId="10501D8E">
                <wp:extent cx="1082042" cy="231648"/>
                <wp:effectExtent l="0" t="0" r="3810" b="0"/>
                <wp:docPr id="687142599" name="Picture 2"/>
                <wp:cNvGraphicFramePr/>
                <a:graphic xmlns:a="http://schemas.openxmlformats.org/drawingml/2006/main">
                  <a:graphicData uri="http://schemas.openxmlformats.org/drawingml/2006/picture">
                    <pic:pic xmlns:pic="http://schemas.openxmlformats.org/drawingml/2006/picture">
                      <pic:nvPicPr>
                        <pic:cNvPr id="687142599" name=""/>
                        <pic:cNvPicPr/>
                      </pic:nvPicPr>
                      <pic:blipFill>
                        <a:blip r:embed="rId1">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3881605A" w14:textId="51D9C67E" w:rsidR="00C862B8" w:rsidRPr="00C862B8" w:rsidRDefault="00CB4701" w:rsidP="00C862B8">
    <w:pPr>
      <w:pStyle w:val="Footer"/>
      <w:spacing w:line="56" w:lineRule="auto"/>
      <w:rPr>
        <w:b w:val="0"/>
        <w:sz w:val="20"/>
      </w:rPr>
    </w:pPr>
    <w:r>
      <w:drawing>
        <wp:anchor distT="0" distB="0" distL="114300" distR="114300" simplePos="0" relativeHeight="251659264" behindDoc="0" locked="0" layoutInCell="1" allowOverlap="1" wp14:anchorId="2C7D05F2" wp14:editId="0323C773">
          <wp:simplePos x="0" y="0"/>
          <wp:positionH relativeFrom="margin">
            <wp:posOffset>5655238</wp:posOffset>
          </wp:positionH>
          <wp:positionV relativeFrom="paragraph">
            <wp:posOffset>-702310</wp:posOffset>
          </wp:positionV>
          <wp:extent cx="694690" cy="694690"/>
          <wp:effectExtent l="0" t="0" r="0" b="0"/>
          <wp:wrapNone/>
          <wp:docPr id="19593615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017B" w14:textId="77777777" w:rsidR="00E809BA" w:rsidRPr="006873C8" w:rsidRDefault="00E809BA" w:rsidP="006873C8">
      <w:pPr>
        <w:pStyle w:val="Footer"/>
        <w:spacing w:after="80"/>
        <w:ind w:left="792"/>
        <w:rPr>
          <w:sz w:val="16"/>
        </w:rPr>
      </w:pPr>
      <w:r w:rsidRPr="006873C8">
        <w:rPr>
          <w:sz w:val="16"/>
        </w:rPr>
        <w:t>__________________</w:t>
      </w:r>
    </w:p>
  </w:footnote>
  <w:footnote w:type="continuationSeparator" w:id="0">
    <w:p w14:paraId="4D77C9D8" w14:textId="77777777" w:rsidR="00E809BA" w:rsidRPr="006873C8" w:rsidRDefault="00E809BA" w:rsidP="006873C8">
      <w:pPr>
        <w:pStyle w:val="Footer"/>
        <w:spacing w:after="80"/>
        <w:ind w:left="792"/>
        <w:rPr>
          <w:sz w:val="16"/>
        </w:rPr>
      </w:pPr>
      <w:r w:rsidRPr="006873C8">
        <w:rPr>
          <w:sz w:val="16"/>
        </w:rPr>
        <w:t>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3" w:type="dxa"/>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5023"/>
      <w:gridCol w:w="5020"/>
    </w:tblGrid>
    <w:tr w:rsidR="00C862B8" w14:paraId="26B9D35C" w14:textId="77777777" w:rsidTr="00C862B8">
      <w:trPr>
        <w:trHeight w:hRule="exact" w:val="864"/>
        <w:jc w:val="center"/>
      </w:trPr>
      <w:tc>
        <w:tcPr>
          <w:tcW w:w="5023" w:type="dxa"/>
          <w:shd w:val="clear" w:color="auto" w:fill="auto"/>
          <w:vAlign w:val="bottom"/>
        </w:tcPr>
        <w:p w14:paraId="1AFE6220" w14:textId="0CC301A1" w:rsidR="00C862B8" w:rsidRPr="00C862B8" w:rsidRDefault="00C862B8" w:rsidP="00C862B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8611F">
            <w:rPr>
              <w:b/>
              <w:color w:val="000000"/>
            </w:rPr>
            <w:t>A/AC.105/L.340</w:t>
          </w:r>
          <w:r>
            <w:rPr>
              <w:b/>
              <w:color w:val="000000"/>
            </w:rPr>
            <w:fldChar w:fldCharType="end"/>
          </w:r>
        </w:p>
      </w:tc>
      <w:tc>
        <w:tcPr>
          <w:tcW w:w="5020" w:type="dxa"/>
          <w:shd w:val="clear" w:color="auto" w:fill="auto"/>
          <w:vAlign w:val="bottom"/>
        </w:tcPr>
        <w:p w14:paraId="2C0714E8" w14:textId="77777777" w:rsidR="00C862B8" w:rsidRDefault="00C862B8" w:rsidP="00C862B8">
          <w:pPr>
            <w:pStyle w:val="Header"/>
          </w:pPr>
        </w:p>
      </w:tc>
    </w:tr>
  </w:tbl>
  <w:p w14:paraId="1FE40A76" w14:textId="77777777" w:rsidR="00C862B8" w:rsidRPr="00C862B8" w:rsidRDefault="00C862B8" w:rsidP="00C862B8">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3" w:type="dxa"/>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5023"/>
      <w:gridCol w:w="5020"/>
    </w:tblGrid>
    <w:tr w:rsidR="00C862B8" w14:paraId="3BA3235F" w14:textId="77777777" w:rsidTr="00C862B8">
      <w:trPr>
        <w:trHeight w:hRule="exact" w:val="864"/>
        <w:jc w:val="center"/>
      </w:trPr>
      <w:tc>
        <w:tcPr>
          <w:tcW w:w="5023" w:type="dxa"/>
          <w:shd w:val="clear" w:color="auto" w:fill="auto"/>
          <w:vAlign w:val="bottom"/>
        </w:tcPr>
        <w:p w14:paraId="25485167" w14:textId="77777777" w:rsidR="00C862B8" w:rsidRDefault="00C862B8" w:rsidP="00C862B8">
          <w:pPr>
            <w:pStyle w:val="Header"/>
          </w:pPr>
        </w:p>
      </w:tc>
      <w:tc>
        <w:tcPr>
          <w:tcW w:w="5020" w:type="dxa"/>
          <w:shd w:val="clear" w:color="auto" w:fill="auto"/>
          <w:vAlign w:val="bottom"/>
        </w:tcPr>
        <w:p w14:paraId="62679A9B" w14:textId="2C1915C1" w:rsidR="00C862B8" w:rsidRPr="00C862B8" w:rsidRDefault="00C862B8" w:rsidP="00C862B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8611F">
            <w:rPr>
              <w:b/>
              <w:color w:val="000000"/>
            </w:rPr>
            <w:t>A/AC.105/L.340</w:t>
          </w:r>
          <w:r>
            <w:rPr>
              <w:b/>
              <w:color w:val="000000"/>
            </w:rPr>
            <w:fldChar w:fldCharType="end"/>
          </w:r>
        </w:p>
      </w:tc>
    </w:tr>
  </w:tbl>
  <w:p w14:paraId="0F6DB404" w14:textId="77777777" w:rsidR="00C862B8" w:rsidRPr="00C862B8" w:rsidRDefault="00C862B8" w:rsidP="00C862B8">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300"/>
    </w:tblGrid>
    <w:tr w:rsidR="00C862B8" w14:paraId="573317B8" w14:textId="77777777" w:rsidTr="00C862B8">
      <w:trPr>
        <w:trHeight w:hRule="exact" w:val="864"/>
      </w:trPr>
      <w:tc>
        <w:tcPr>
          <w:tcW w:w="1267" w:type="dxa"/>
          <w:tcBorders>
            <w:bottom w:val="single" w:sz="4" w:space="0" w:color="auto"/>
          </w:tcBorders>
          <w:shd w:val="clear" w:color="auto" w:fill="auto"/>
          <w:vAlign w:val="bottom"/>
        </w:tcPr>
        <w:p w14:paraId="2E6B92C6" w14:textId="77777777" w:rsidR="00C862B8" w:rsidRDefault="00C862B8" w:rsidP="00C862B8">
          <w:pPr>
            <w:pStyle w:val="Header"/>
            <w:spacing w:after="120"/>
          </w:pPr>
        </w:p>
      </w:tc>
      <w:tc>
        <w:tcPr>
          <w:tcW w:w="2059" w:type="dxa"/>
          <w:tcBorders>
            <w:bottom w:val="single" w:sz="4" w:space="0" w:color="auto"/>
          </w:tcBorders>
          <w:shd w:val="clear" w:color="auto" w:fill="auto"/>
          <w:vAlign w:val="bottom"/>
        </w:tcPr>
        <w:p w14:paraId="6FEA91B7" w14:textId="1B8D444E" w:rsidR="00C862B8" w:rsidRPr="00C862B8" w:rsidRDefault="00C862B8" w:rsidP="00C862B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14E506E1" w14:textId="77777777" w:rsidR="00C862B8" w:rsidRDefault="00C862B8" w:rsidP="00C862B8">
          <w:pPr>
            <w:pStyle w:val="Header"/>
            <w:spacing w:after="120"/>
          </w:pPr>
        </w:p>
      </w:tc>
      <w:tc>
        <w:tcPr>
          <w:tcW w:w="6653" w:type="dxa"/>
          <w:gridSpan w:val="3"/>
          <w:tcBorders>
            <w:bottom w:val="single" w:sz="4" w:space="0" w:color="auto"/>
          </w:tcBorders>
          <w:shd w:val="clear" w:color="auto" w:fill="auto"/>
          <w:vAlign w:val="bottom"/>
        </w:tcPr>
        <w:p w14:paraId="3145A0B5" w14:textId="3DD215F7" w:rsidR="00C862B8" w:rsidRPr="00C862B8" w:rsidRDefault="00C862B8" w:rsidP="00C862B8">
          <w:pPr>
            <w:spacing w:after="80" w:line="240" w:lineRule="auto"/>
            <w:jc w:val="right"/>
            <w:rPr>
              <w:position w:val="-4"/>
            </w:rPr>
          </w:pPr>
          <w:r>
            <w:rPr>
              <w:position w:val="-4"/>
              <w:sz w:val="40"/>
            </w:rPr>
            <w:t>A</w:t>
          </w:r>
          <w:r>
            <w:rPr>
              <w:position w:val="-4"/>
            </w:rPr>
            <w:t>/AC.105/L.340</w:t>
          </w:r>
        </w:p>
      </w:tc>
    </w:tr>
    <w:tr w:rsidR="00C862B8" w:rsidRPr="00C862B8" w14:paraId="09C9BE11" w14:textId="77777777" w:rsidTr="00C862B8">
      <w:trPr>
        <w:trHeight w:hRule="exact" w:val="2880"/>
      </w:trPr>
      <w:tc>
        <w:tcPr>
          <w:tcW w:w="1267" w:type="dxa"/>
          <w:tcBorders>
            <w:top w:val="single" w:sz="4" w:space="0" w:color="auto"/>
            <w:bottom w:val="single" w:sz="12" w:space="0" w:color="auto"/>
          </w:tcBorders>
          <w:shd w:val="clear" w:color="auto" w:fill="auto"/>
        </w:tcPr>
        <w:p w14:paraId="5E21D11F" w14:textId="459D604B" w:rsidR="00C862B8" w:rsidRPr="00C862B8" w:rsidRDefault="00C862B8" w:rsidP="00C862B8">
          <w:pPr>
            <w:pStyle w:val="Header"/>
            <w:spacing w:before="120"/>
            <w:jc w:val="center"/>
          </w:pPr>
          <w:r>
            <w:t xml:space="preserve"> </w:t>
          </w:r>
          <w:r>
            <w:drawing>
              <wp:inline distT="0" distB="0" distL="0" distR="0" wp14:anchorId="418402C6" wp14:editId="21472E68">
                <wp:extent cx="713232" cy="597103"/>
                <wp:effectExtent l="0" t="0" r="0" b="0"/>
                <wp:docPr id="1115935205" name="Picture 1"/>
                <wp:cNvGraphicFramePr/>
                <a:graphic xmlns:a="http://schemas.openxmlformats.org/drawingml/2006/main">
                  <a:graphicData uri="http://schemas.openxmlformats.org/drawingml/2006/picture">
                    <pic:pic xmlns:pic="http://schemas.openxmlformats.org/drawingml/2006/picture">
                      <pic:nvPicPr>
                        <pic:cNvPr id="1115935205"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26085F3" w14:textId="42CC1AFB" w:rsidR="00C862B8" w:rsidRPr="00C862B8" w:rsidRDefault="00C862B8" w:rsidP="00C862B8">
          <w:pPr>
            <w:pStyle w:val="XLarge"/>
            <w:spacing w:before="109"/>
          </w:pPr>
          <w:r>
            <w:t>Asamblea General</w:t>
          </w:r>
        </w:p>
      </w:tc>
      <w:tc>
        <w:tcPr>
          <w:tcW w:w="245" w:type="dxa"/>
          <w:tcBorders>
            <w:top w:val="single" w:sz="4" w:space="0" w:color="auto"/>
            <w:bottom w:val="single" w:sz="12" w:space="0" w:color="auto"/>
          </w:tcBorders>
          <w:shd w:val="clear" w:color="auto" w:fill="auto"/>
        </w:tcPr>
        <w:p w14:paraId="5BFFA680" w14:textId="77777777" w:rsidR="00C862B8" w:rsidRPr="00C862B8" w:rsidRDefault="00C862B8" w:rsidP="00C862B8">
          <w:pPr>
            <w:pStyle w:val="Header"/>
            <w:spacing w:before="109"/>
          </w:pPr>
        </w:p>
      </w:tc>
      <w:tc>
        <w:tcPr>
          <w:tcW w:w="3300" w:type="dxa"/>
          <w:tcBorders>
            <w:top w:val="single" w:sz="4" w:space="0" w:color="auto"/>
            <w:bottom w:val="single" w:sz="12" w:space="0" w:color="auto"/>
          </w:tcBorders>
          <w:shd w:val="clear" w:color="auto" w:fill="auto"/>
        </w:tcPr>
        <w:p w14:paraId="0A4A881D" w14:textId="77777777" w:rsidR="00C862B8" w:rsidRDefault="00C862B8" w:rsidP="00C862B8">
          <w:pPr>
            <w:pStyle w:val="Distribution"/>
            <w:spacing w:before="240"/>
          </w:pPr>
          <w:r>
            <w:t>Distr. limitada</w:t>
          </w:r>
        </w:p>
        <w:p w14:paraId="602EB2A3" w14:textId="77777777" w:rsidR="00C862B8" w:rsidRDefault="00C862B8" w:rsidP="00C862B8">
          <w:pPr>
            <w:pStyle w:val="Publication"/>
          </w:pPr>
          <w:r>
            <w:t>26 de junio de 2025</w:t>
          </w:r>
        </w:p>
        <w:p w14:paraId="101F43F1" w14:textId="77777777" w:rsidR="00C862B8" w:rsidRDefault="00C862B8" w:rsidP="00C862B8">
          <w:pPr>
            <w:rPr>
              <w:lang w:eastAsia="en-US"/>
            </w:rPr>
          </w:pPr>
          <w:r>
            <w:rPr>
              <w:lang w:eastAsia="en-US"/>
            </w:rPr>
            <w:t>Español</w:t>
          </w:r>
        </w:p>
        <w:p w14:paraId="4D41440D" w14:textId="77777777" w:rsidR="00C862B8" w:rsidRDefault="00C862B8" w:rsidP="00C862B8">
          <w:pPr>
            <w:pStyle w:val="Original"/>
          </w:pPr>
          <w:r>
            <w:t>Original: inglés</w:t>
          </w:r>
        </w:p>
        <w:p w14:paraId="79A35390" w14:textId="77EEA263" w:rsidR="00C862B8" w:rsidRPr="00C862B8" w:rsidRDefault="00C862B8" w:rsidP="00C862B8">
          <w:pPr>
            <w:rPr>
              <w:lang w:eastAsia="en-US"/>
            </w:rPr>
          </w:pPr>
        </w:p>
      </w:tc>
    </w:tr>
  </w:tbl>
  <w:p w14:paraId="4B92BF37" w14:textId="77777777" w:rsidR="00C862B8" w:rsidRPr="00C862B8" w:rsidRDefault="00C862B8" w:rsidP="00C862B8">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0C1C38DC"/>
    <w:multiLevelType w:val="hybridMultilevel"/>
    <w:tmpl w:val="FCEC8568"/>
    <w:lvl w:ilvl="0" w:tplc="63DEC14C">
      <w:start w:val="1"/>
      <w:numFmt w:val="decimal"/>
      <w:lvlText w:val="%1."/>
      <w:lvlJc w:val="left"/>
      <w:pPr>
        <w:ind w:left="1747" w:hanging="480"/>
      </w:pPr>
      <w:rPr>
        <w:rFonts w:hint="default"/>
        <w:w w:val="10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651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0"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2" w15:restartNumberingAfterBreak="0">
    <w:nsid w:val="7D2F59BA"/>
    <w:multiLevelType w:val="singleLevel"/>
    <w:tmpl w:val="8326AD3C"/>
    <w:lvl w:ilvl="0">
      <w:start w:val="1"/>
      <w:numFmt w:val="decimal"/>
      <w:lvlRestart w:val="0"/>
      <w:lvlText w:val="%1."/>
      <w:lvlJc w:val="left"/>
      <w:pPr>
        <w:tabs>
          <w:tab w:val="num" w:pos="475"/>
        </w:tabs>
        <w:ind w:left="0" w:firstLine="0"/>
      </w:pPr>
      <w:rPr>
        <w:spacing w:val="0"/>
        <w:w w:val="100"/>
      </w:rPr>
    </w:lvl>
  </w:abstractNum>
  <w:num w:numId="1" w16cid:durableId="1420907156">
    <w:abstractNumId w:val="7"/>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584724803">
    <w:abstractNumId w:val="11"/>
  </w:num>
  <w:num w:numId="8" w16cid:durableId="164712109">
    <w:abstractNumId w:val="6"/>
  </w:num>
  <w:num w:numId="9" w16cid:durableId="250091437">
    <w:abstractNumId w:val="10"/>
  </w:num>
  <w:num w:numId="10" w16cid:durableId="524252012">
    <w:abstractNumId w:val="9"/>
  </w:num>
  <w:num w:numId="11" w16cid:durableId="1374187316">
    <w:abstractNumId w:val="8"/>
  </w:num>
  <w:num w:numId="12" w16cid:durableId="36052305">
    <w:abstractNumId w:val="11"/>
  </w:num>
  <w:num w:numId="13" w16cid:durableId="1679231921">
    <w:abstractNumId w:val="6"/>
  </w:num>
  <w:num w:numId="14" w16cid:durableId="1031536774">
    <w:abstractNumId w:val="10"/>
  </w:num>
  <w:num w:numId="15" w16cid:durableId="875393002">
    <w:abstractNumId w:val="8"/>
  </w:num>
  <w:num w:numId="16" w16cid:durableId="1483237288">
    <w:abstractNumId w:val="8"/>
  </w:num>
  <w:num w:numId="17" w16cid:durableId="912012482">
    <w:abstractNumId w:val="8"/>
  </w:num>
  <w:num w:numId="18" w16cid:durableId="1379892502">
    <w:abstractNumId w:val="8"/>
  </w:num>
  <w:num w:numId="19" w16cid:durableId="1788037444">
    <w:abstractNumId w:val="8"/>
  </w:num>
  <w:num w:numId="20" w16cid:durableId="984509384">
    <w:abstractNumId w:val="8"/>
  </w:num>
  <w:num w:numId="21" w16cid:durableId="723914449">
    <w:abstractNumId w:val="8"/>
  </w:num>
  <w:num w:numId="22" w16cid:durableId="563181366">
    <w:abstractNumId w:val="8"/>
  </w:num>
  <w:num w:numId="23" w16cid:durableId="1979722990">
    <w:abstractNumId w:val="8"/>
  </w:num>
  <w:num w:numId="24" w16cid:durableId="1877236076">
    <w:abstractNumId w:val="9"/>
  </w:num>
  <w:num w:numId="25" w16cid:durableId="1461075889">
    <w:abstractNumId w:val="8"/>
  </w:num>
  <w:num w:numId="26" w16cid:durableId="2039431525">
    <w:abstractNumId w:val="11"/>
  </w:num>
  <w:num w:numId="27" w16cid:durableId="1993220082">
    <w:abstractNumId w:val="6"/>
  </w:num>
  <w:num w:numId="28" w16cid:durableId="1097797523">
    <w:abstractNumId w:val="10"/>
  </w:num>
  <w:num w:numId="29" w16cid:durableId="1068527987">
    <w:abstractNumId w:val="9"/>
  </w:num>
  <w:num w:numId="30" w16cid:durableId="28990107">
    <w:abstractNumId w:val="5"/>
  </w:num>
  <w:num w:numId="31" w16cid:durableId="1478568535">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475"/>
  <w:autoHyphenation/>
  <w:hyphenationZone w:val="425"/>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510404*"/>
    <w:docVar w:name="CreationDt" w:val="27/06/2025 15:40:23"/>
    <w:docVar w:name="DocCategory" w:val="Doc"/>
    <w:docVar w:name="DocType" w:val="Final"/>
    <w:docVar w:name="DutyStation" w:val="Vienna"/>
    <w:docVar w:name="FooterJN" w:val="V.25-10404"/>
    <w:docVar w:name="jobn" w:val="V.25-10404 (S)"/>
    <w:docVar w:name="jobnDT" w:val="V.25-10404 (S)   270625"/>
    <w:docVar w:name="jobnDTDT" w:val="V.25-10404 (S)   270625   270625"/>
    <w:docVar w:name="JobNo" w:val="V.2510404S"/>
    <w:docVar w:name="JobNo2" w:val="250459515:40:23"/>
    <w:docVar w:name="LocalDrive" w:val="-1"/>
    <w:docVar w:name="OandT" w:val="---"/>
    <w:docVar w:name="sss1" w:val="A/AC.105/L.340"/>
    <w:docVar w:name="sss2" w:val="-"/>
    <w:docVar w:name="Symbol1" w:val="A/AC.105/L.340"/>
    <w:docVar w:name="Symbol2" w:val="-"/>
  </w:docVars>
  <w:rsids>
    <w:rsidRoot w:val="00E97F70"/>
    <w:rsid w:val="00000EBC"/>
    <w:rsid w:val="00001169"/>
    <w:rsid w:val="00001967"/>
    <w:rsid w:val="0001586A"/>
    <w:rsid w:val="000911FE"/>
    <w:rsid w:val="00105618"/>
    <w:rsid w:val="00131469"/>
    <w:rsid w:val="0013172C"/>
    <w:rsid w:val="001325B0"/>
    <w:rsid w:val="00151F81"/>
    <w:rsid w:val="001557A3"/>
    <w:rsid w:val="00171CDD"/>
    <w:rsid w:val="001978D5"/>
    <w:rsid w:val="001C412A"/>
    <w:rsid w:val="001E3019"/>
    <w:rsid w:val="00247400"/>
    <w:rsid w:val="0027492E"/>
    <w:rsid w:val="002C1C56"/>
    <w:rsid w:val="00322DB2"/>
    <w:rsid w:val="00331D20"/>
    <w:rsid w:val="00365FD7"/>
    <w:rsid w:val="003E5E54"/>
    <w:rsid w:val="003F75F8"/>
    <w:rsid w:val="0047638E"/>
    <w:rsid w:val="00495E7B"/>
    <w:rsid w:val="0049669D"/>
    <w:rsid w:val="004A667B"/>
    <w:rsid w:val="004E28E6"/>
    <w:rsid w:val="004F5722"/>
    <w:rsid w:val="005030AB"/>
    <w:rsid w:val="00507771"/>
    <w:rsid w:val="0054211F"/>
    <w:rsid w:val="005433AB"/>
    <w:rsid w:val="005610B1"/>
    <w:rsid w:val="005D4F00"/>
    <w:rsid w:val="00680036"/>
    <w:rsid w:val="00684EB6"/>
    <w:rsid w:val="00685E36"/>
    <w:rsid w:val="006873C8"/>
    <w:rsid w:val="00696F0F"/>
    <w:rsid w:val="006A5587"/>
    <w:rsid w:val="006C7738"/>
    <w:rsid w:val="00727155"/>
    <w:rsid w:val="007633C9"/>
    <w:rsid w:val="007A4B68"/>
    <w:rsid w:val="007B4CD6"/>
    <w:rsid w:val="008138CB"/>
    <w:rsid w:val="00830FBE"/>
    <w:rsid w:val="00855C17"/>
    <w:rsid w:val="0086132E"/>
    <w:rsid w:val="00863195"/>
    <w:rsid w:val="00871053"/>
    <w:rsid w:val="00877270"/>
    <w:rsid w:val="0088056D"/>
    <w:rsid w:val="008A2590"/>
    <w:rsid w:val="008F11CA"/>
    <w:rsid w:val="00901DAC"/>
    <w:rsid w:val="00906435"/>
    <w:rsid w:val="00921A54"/>
    <w:rsid w:val="009322DF"/>
    <w:rsid w:val="009459DF"/>
    <w:rsid w:val="00956FAB"/>
    <w:rsid w:val="009B00E9"/>
    <w:rsid w:val="009C011C"/>
    <w:rsid w:val="009D56BA"/>
    <w:rsid w:val="00A72797"/>
    <w:rsid w:val="00AA29EE"/>
    <w:rsid w:val="00AD41D5"/>
    <w:rsid w:val="00B125A0"/>
    <w:rsid w:val="00B272FA"/>
    <w:rsid w:val="00B27698"/>
    <w:rsid w:val="00B43769"/>
    <w:rsid w:val="00B7299C"/>
    <w:rsid w:val="00B901FD"/>
    <w:rsid w:val="00BA60B1"/>
    <w:rsid w:val="00BC2C8A"/>
    <w:rsid w:val="00C16A02"/>
    <w:rsid w:val="00C16D72"/>
    <w:rsid w:val="00C174A0"/>
    <w:rsid w:val="00C60123"/>
    <w:rsid w:val="00C6119A"/>
    <w:rsid w:val="00C862B8"/>
    <w:rsid w:val="00CB4701"/>
    <w:rsid w:val="00CC2D86"/>
    <w:rsid w:val="00CE35F9"/>
    <w:rsid w:val="00CE729B"/>
    <w:rsid w:val="00CF5C28"/>
    <w:rsid w:val="00D23FFB"/>
    <w:rsid w:val="00D25C47"/>
    <w:rsid w:val="00D409D0"/>
    <w:rsid w:val="00D8611F"/>
    <w:rsid w:val="00DB0712"/>
    <w:rsid w:val="00DB652C"/>
    <w:rsid w:val="00DE254A"/>
    <w:rsid w:val="00DF68E5"/>
    <w:rsid w:val="00E548DF"/>
    <w:rsid w:val="00E8036E"/>
    <w:rsid w:val="00E809BA"/>
    <w:rsid w:val="00E97F70"/>
    <w:rsid w:val="00EA1709"/>
    <w:rsid w:val="00F05AC4"/>
    <w:rsid w:val="00F65F4F"/>
    <w:rsid w:val="00F85BC3"/>
    <w:rsid w:val="00F95E56"/>
    <w:rsid w:val="00FD1B9D"/>
    <w:rsid w:val="00FE1DBC"/>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DDAA8"/>
  <w15:chartTrackingRefBased/>
  <w15:docId w15:val="{A2326B44-37BD-483B-B561-4B4E12AE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2A"/>
    <w:pPr>
      <w:spacing w:after="0" w:line="240" w:lineRule="exact"/>
    </w:pPr>
    <w:rPr>
      <w:rFonts w:ascii="Times New Roman" w:eastAsia="Times New Roman" w:hAnsi="Times New Roman" w:cs="Times New Roman"/>
      <w:sz w:val="20"/>
      <w:szCs w:val="24"/>
      <w:lang w:val="es-ES" w:eastAsia="de-DE"/>
    </w:rPr>
  </w:style>
  <w:style w:type="paragraph" w:styleId="Heading1">
    <w:name w:val="heading 1"/>
    <w:basedOn w:val="Normal"/>
    <w:next w:val="Normal"/>
    <w:link w:val="Heading1Char"/>
    <w:uiPriority w:val="9"/>
    <w:qFormat/>
    <w:rsid w:val="001C412A"/>
    <w:pPr>
      <w:keepNext/>
      <w:suppressAutoHyphens/>
      <w:spacing w:before="240" w:after="60"/>
      <w:outlineLvl w:val="0"/>
    </w:pPr>
    <w:rPr>
      <w:rFonts w:ascii="Arial" w:hAnsi="Arial"/>
      <w:b/>
      <w:bCs/>
      <w:spacing w:val="4"/>
      <w:w w:val="103"/>
      <w:kern w:val="32"/>
      <w:sz w:val="32"/>
      <w:szCs w:val="28"/>
      <w:lang w:eastAsia="en-US"/>
    </w:rPr>
  </w:style>
  <w:style w:type="paragraph" w:styleId="Heading2">
    <w:name w:val="heading 2"/>
    <w:basedOn w:val="Normal"/>
    <w:next w:val="Normal"/>
    <w:link w:val="Heading2Char"/>
    <w:uiPriority w:val="9"/>
    <w:qFormat/>
    <w:rsid w:val="001C412A"/>
    <w:pPr>
      <w:keepNext/>
      <w:suppressAutoHyphens/>
      <w:spacing w:before="240" w:after="60"/>
      <w:outlineLvl w:val="1"/>
    </w:pPr>
    <w:rPr>
      <w:rFonts w:ascii="Arial" w:hAnsi="Arial"/>
      <w:b/>
      <w:bCs/>
      <w:i/>
      <w:spacing w:val="4"/>
      <w:w w:val="103"/>
      <w:kern w:val="14"/>
      <w:sz w:val="28"/>
      <w:szCs w:val="26"/>
      <w:lang w:eastAsia="en-US"/>
    </w:rPr>
  </w:style>
  <w:style w:type="paragraph" w:styleId="Heading3">
    <w:name w:val="heading 3"/>
    <w:basedOn w:val="Normal"/>
    <w:next w:val="Normal"/>
    <w:link w:val="Heading3Char"/>
    <w:uiPriority w:val="9"/>
    <w:qFormat/>
    <w:rsid w:val="001C412A"/>
    <w:pPr>
      <w:keepNext/>
      <w:suppressAutoHyphens/>
      <w:spacing w:before="240" w:after="60"/>
      <w:outlineLvl w:val="2"/>
    </w:pPr>
    <w:rPr>
      <w:rFonts w:ascii="Arial" w:hAnsi="Arial"/>
      <w:b/>
      <w:bCs/>
      <w:spacing w:val="4"/>
      <w:w w:val="103"/>
      <w:kern w:val="14"/>
      <w:sz w:val="26"/>
      <w:szCs w:val="22"/>
      <w:lang w:eastAsia="en-US"/>
    </w:rPr>
  </w:style>
  <w:style w:type="paragraph" w:styleId="Heading4">
    <w:name w:val="heading 4"/>
    <w:basedOn w:val="Normal"/>
    <w:next w:val="Normal"/>
    <w:link w:val="Heading4Char"/>
    <w:uiPriority w:val="9"/>
    <w:unhideWhenUsed/>
    <w:qFormat/>
    <w:rsid w:val="001C412A"/>
    <w:pPr>
      <w:suppressAutoHyphens/>
      <w:spacing w:before="200"/>
      <w:outlineLvl w:val="3"/>
    </w:pPr>
    <w:rPr>
      <w:rFonts w:ascii="Cambria" w:hAnsi="Cambria"/>
      <w:b/>
      <w:bCs/>
      <w:i/>
      <w:iCs/>
      <w:spacing w:val="4"/>
      <w:w w:val="103"/>
      <w:szCs w:val="22"/>
      <w:lang w:eastAsia="en-US"/>
    </w:rPr>
  </w:style>
  <w:style w:type="paragraph" w:styleId="Heading5">
    <w:name w:val="heading 5"/>
    <w:basedOn w:val="Normal"/>
    <w:next w:val="Normal"/>
    <w:link w:val="Heading5Char"/>
    <w:uiPriority w:val="9"/>
    <w:unhideWhenUsed/>
    <w:qFormat/>
    <w:rsid w:val="001C412A"/>
    <w:pPr>
      <w:suppressAutoHyphens/>
      <w:spacing w:before="200"/>
      <w:outlineLvl w:val="4"/>
    </w:pPr>
    <w:rPr>
      <w:rFonts w:ascii="Cambria" w:hAnsi="Cambria"/>
      <w:b/>
      <w:bCs/>
      <w:color w:val="7F7F7F"/>
      <w:spacing w:val="4"/>
      <w:w w:val="103"/>
      <w:szCs w:val="22"/>
      <w:lang w:eastAsia="en-US"/>
    </w:rPr>
  </w:style>
  <w:style w:type="paragraph" w:styleId="Heading6">
    <w:name w:val="heading 6"/>
    <w:basedOn w:val="Normal"/>
    <w:next w:val="Normal"/>
    <w:link w:val="Heading6Char"/>
    <w:uiPriority w:val="9"/>
    <w:unhideWhenUsed/>
    <w:qFormat/>
    <w:rsid w:val="001C412A"/>
    <w:pPr>
      <w:suppressAutoHyphens/>
      <w:spacing w:line="271" w:lineRule="auto"/>
      <w:outlineLvl w:val="5"/>
    </w:pPr>
    <w:rPr>
      <w:rFonts w:ascii="Cambria" w:hAnsi="Cambria"/>
      <w:b/>
      <w:bCs/>
      <w:i/>
      <w:iCs/>
      <w:color w:val="7F7F7F"/>
      <w:spacing w:val="4"/>
      <w:w w:val="103"/>
      <w:szCs w:val="22"/>
      <w:lang w:eastAsia="en-US"/>
    </w:rPr>
  </w:style>
  <w:style w:type="paragraph" w:styleId="Heading7">
    <w:name w:val="heading 7"/>
    <w:basedOn w:val="Normal"/>
    <w:next w:val="Normal"/>
    <w:link w:val="Heading7Char"/>
    <w:uiPriority w:val="9"/>
    <w:semiHidden/>
    <w:unhideWhenUsed/>
    <w:qFormat/>
    <w:rsid w:val="001C412A"/>
    <w:pPr>
      <w:suppressAutoHyphens/>
      <w:outlineLvl w:val="6"/>
    </w:pPr>
    <w:rPr>
      <w:rFonts w:ascii="Cambria" w:hAnsi="Cambria"/>
      <w:i/>
      <w:iCs/>
      <w:spacing w:val="4"/>
      <w:w w:val="103"/>
      <w:szCs w:val="22"/>
      <w:lang w:eastAsia="en-US"/>
    </w:rPr>
  </w:style>
  <w:style w:type="paragraph" w:styleId="Heading8">
    <w:name w:val="heading 8"/>
    <w:basedOn w:val="Normal"/>
    <w:next w:val="Normal"/>
    <w:link w:val="Heading8Char"/>
    <w:uiPriority w:val="9"/>
    <w:semiHidden/>
    <w:unhideWhenUsed/>
    <w:qFormat/>
    <w:rsid w:val="001C412A"/>
    <w:pPr>
      <w:suppressAutoHyphens/>
      <w:outlineLvl w:val="7"/>
    </w:pPr>
    <w:rPr>
      <w:rFonts w:ascii="Cambria" w:hAnsi="Cambria"/>
      <w:spacing w:val="4"/>
      <w:w w:val="103"/>
      <w:szCs w:val="20"/>
      <w:lang w:eastAsia="en-US"/>
    </w:rPr>
  </w:style>
  <w:style w:type="paragraph" w:styleId="Heading9">
    <w:name w:val="heading 9"/>
    <w:basedOn w:val="Normal"/>
    <w:next w:val="Normal"/>
    <w:link w:val="Heading9Char"/>
    <w:uiPriority w:val="9"/>
    <w:semiHidden/>
    <w:unhideWhenUsed/>
    <w:qFormat/>
    <w:rsid w:val="001C412A"/>
    <w:pPr>
      <w:suppressAutoHyphens/>
      <w:outlineLvl w:val="8"/>
    </w:pPr>
    <w:rPr>
      <w:rFonts w:ascii="Cambria" w:hAnsi="Cambria"/>
      <w:i/>
      <w:iCs/>
      <w:spacing w:val="5"/>
      <w:w w:val="10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1C412A"/>
    <w:pPr>
      <w:tabs>
        <w:tab w:val="center" w:pos="4320"/>
        <w:tab w:val="right" w:pos="8640"/>
      </w:tabs>
      <w:spacing w:after="0" w:line="240" w:lineRule="auto"/>
    </w:pPr>
    <w:rPr>
      <w:rFonts w:ascii="Times New Roman" w:eastAsiaTheme="minorHAnsi" w:hAnsi="Times New Roman" w:cs="Times New Roman"/>
      <w:noProof/>
      <w:sz w:val="17"/>
      <w:lang w:eastAsia="en-US"/>
    </w:rPr>
  </w:style>
  <w:style w:type="character" w:customStyle="1" w:styleId="HeaderChar">
    <w:name w:val="Header Char"/>
    <w:basedOn w:val="DefaultParagraphFont"/>
    <w:link w:val="Header"/>
    <w:rsid w:val="001C412A"/>
    <w:rPr>
      <w:rFonts w:ascii="Times New Roman" w:eastAsiaTheme="minorHAnsi" w:hAnsi="Times New Roman" w:cs="Times New Roman"/>
      <w:noProof/>
      <w:sz w:val="17"/>
      <w:lang w:eastAsia="en-US"/>
    </w:rPr>
  </w:style>
  <w:style w:type="paragraph" w:styleId="Footer">
    <w:name w:val="footer"/>
    <w:link w:val="FooterChar"/>
    <w:qFormat/>
    <w:rsid w:val="001C412A"/>
    <w:pPr>
      <w:tabs>
        <w:tab w:val="center" w:pos="4320"/>
        <w:tab w:val="right" w:pos="8640"/>
      </w:tabs>
      <w:spacing w:after="0" w:line="240" w:lineRule="auto"/>
    </w:pPr>
    <w:rPr>
      <w:rFonts w:ascii="Times New Roman" w:eastAsiaTheme="minorHAnsi" w:hAnsi="Times New Roman" w:cs="Times New Roman"/>
      <w:b/>
      <w:noProof/>
      <w:sz w:val="17"/>
      <w:lang w:eastAsia="en-US"/>
    </w:rPr>
  </w:style>
  <w:style w:type="character" w:customStyle="1" w:styleId="FooterChar">
    <w:name w:val="Footer Char"/>
    <w:basedOn w:val="DefaultParagraphFont"/>
    <w:link w:val="Footer"/>
    <w:rsid w:val="001C412A"/>
    <w:rPr>
      <w:rFonts w:ascii="Times New Roman" w:eastAsiaTheme="minorHAnsi" w:hAnsi="Times New Roman" w:cs="Times New Roman"/>
      <w:b/>
      <w:noProof/>
      <w:sz w:val="17"/>
      <w:lang w:eastAsia="en-US"/>
    </w:rPr>
  </w:style>
  <w:style w:type="paragraph" w:customStyle="1" w:styleId="HM">
    <w:name w:val="_ H __M"/>
    <w:basedOn w:val="HCh"/>
    <w:next w:val="Normal"/>
    <w:qFormat/>
    <w:rsid w:val="001C412A"/>
    <w:pPr>
      <w:spacing w:line="360" w:lineRule="exact"/>
    </w:pPr>
    <w:rPr>
      <w:spacing w:val="-3"/>
      <w:w w:val="99"/>
      <w:sz w:val="34"/>
    </w:rPr>
  </w:style>
  <w:style w:type="paragraph" w:customStyle="1" w:styleId="H1">
    <w:name w:val="_ H_1"/>
    <w:basedOn w:val="Normal"/>
    <w:next w:val="SingleTxt"/>
    <w:link w:val="H1Char"/>
    <w:qFormat/>
    <w:rsid w:val="001C412A"/>
    <w:pPr>
      <w:keepNext/>
      <w:keepLines/>
      <w:suppressAutoHyphens/>
      <w:spacing w:line="270" w:lineRule="exact"/>
      <w:outlineLvl w:val="0"/>
    </w:pPr>
    <w:rPr>
      <w:rFonts w:eastAsiaTheme="minorHAnsi"/>
      <w:b/>
      <w:spacing w:val="4"/>
      <w:w w:val="103"/>
      <w:kern w:val="14"/>
      <w:sz w:val="24"/>
      <w:lang w:eastAsia="en-US"/>
    </w:rPr>
  </w:style>
  <w:style w:type="paragraph" w:customStyle="1" w:styleId="HCh">
    <w:name w:val="_ H _Ch"/>
    <w:basedOn w:val="H1"/>
    <w:next w:val="SingleTxt"/>
    <w:link w:val="HChChar"/>
    <w:qFormat/>
    <w:rsid w:val="001C412A"/>
    <w:pPr>
      <w:spacing w:line="300" w:lineRule="exact"/>
    </w:pPr>
    <w:rPr>
      <w:spacing w:val="-2"/>
      <w:sz w:val="28"/>
    </w:rPr>
  </w:style>
  <w:style w:type="paragraph" w:customStyle="1" w:styleId="H23">
    <w:name w:val="_ H_2/3"/>
    <w:basedOn w:val="H1"/>
    <w:next w:val="Normal"/>
    <w:qFormat/>
    <w:rsid w:val="001C412A"/>
    <w:pPr>
      <w:spacing w:line="240" w:lineRule="exact"/>
      <w:outlineLvl w:val="1"/>
    </w:pPr>
    <w:rPr>
      <w:spacing w:val="2"/>
      <w:sz w:val="20"/>
    </w:rPr>
  </w:style>
  <w:style w:type="paragraph" w:customStyle="1" w:styleId="H4">
    <w:name w:val="_ H_4"/>
    <w:basedOn w:val="Normal"/>
    <w:next w:val="Normal"/>
    <w:qFormat/>
    <w:rsid w:val="001C412A"/>
    <w:pPr>
      <w:keepNext/>
      <w:keepLines/>
      <w:tabs>
        <w:tab w:val="right" w:pos="360"/>
      </w:tabs>
      <w:suppressAutoHyphens/>
      <w:spacing w:after="120"/>
      <w:outlineLvl w:val="3"/>
    </w:pPr>
    <w:rPr>
      <w:rFonts w:eastAsiaTheme="minorHAnsi"/>
      <w:i/>
      <w:spacing w:val="3"/>
      <w:w w:val="103"/>
      <w:kern w:val="14"/>
      <w:szCs w:val="22"/>
      <w:lang w:eastAsia="en-US"/>
    </w:rPr>
  </w:style>
  <w:style w:type="paragraph" w:customStyle="1" w:styleId="H56">
    <w:name w:val="_ H_5/6"/>
    <w:basedOn w:val="Normal"/>
    <w:next w:val="Normal"/>
    <w:qFormat/>
    <w:rsid w:val="001C412A"/>
    <w:pPr>
      <w:keepNext/>
      <w:keepLines/>
      <w:tabs>
        <w:tab w:val="right" w:pos="360"/>
      </w:tabs>
      <w:suppressAutoHyphens/>
      <w:spacing w:after="120"/>
      <w:outlineLvl w:val="4"/>
    </w:pPr>
    <w:rPr>
      <w:rFonts w:eastAsiaTheme="minorHAnsi"/>
      <w:spacing w:val="4"/>
      <w:w w:val="103"/>
      <w:kern w:val="14"/>
      <w:szCs w:val="22"/>
      <w:lang w:eastAsia="en-US"/>
    </w:rPr>
  </w:style>
  <w:style w:type="paragraph" w:customStyle="1" w:styleId="DualTxt">
    <w:name w:val="__Dual Txt"/>
    <w:basedOn w:val="Normal"/>
    <w:qFormat/>
    <w:rsid w:val="001C412A"/>
    <w:pPr>
      <w:tabs>
        <w:tab w:val="left" w:pos="480"/>
        <w:tab w:val="left" w:pos="960"/>
        <w:tab w:val="left" w:pos="1440"/>
        <w:tab w:val="left" w:pos="1915"/>
        <w:tab w:val="left" w:pos="2405"/>
        <w:tab w:val="left" w:pos="2880"/>
        <w:tab w:val="left" w:pos="3355"/>
      </w:tabs>
      <w:suppressAutoHyphens/>
      <w:spacing w:after="120"/>
    </w:pPr>
    <w:rPr>
      <w:rFonts w:eastAsiaTheme="minorHAnsi"/>
      <w:spacing w:val="4"/>
      <w:w w:val="103"/>
      <w:kern w:val="14"/>
      <w:szCs w:val="22"/>
      <w:lang w:eastAsia="en-US"/>
    </w:rPr>
  </w:style>
  <w:style w:type="paragraph" w:customStyle="1" w:styleId="SM">
    <w:name w:val="__S_M"/>
    <w:basedOn w:val="Normal"/>
    <w:next w:val="Normal"/>
    <w:qFormat/>
    <w:rsid w:val="001C412A"/>
    <w:pPr>
      <w:keepNext/>
      <w:keepLines/>
      <w:tabs>
        <w:tab w:val="right" w:leader="dot" w:pos="360"/>
      </w:tabs>
      <w:suppressAutoHyphens/>
      <w:spacing w:line="390" w:lineRule="exact"/>
      <w:ind w:left="1267" w:right="1267"/>
      <w:outlineLvl w:val="0"/>
    </w:pPr>
    <w:rPr>
      <w:rFonts w:eastAsiaTheme="minorHAnsi"/>
      <w:b/>
      <w:spacing w:val="-4"/>
      <w:w w:val="98"/>
      <w:kern w:val="14"/>
      <w:sz w:val="40"/>
      <w:szCs w:val="22"/>
      <w:lang w:eastAsia="en-US"/>
    </w:rPr>
  </w:style>
  <w:style w:type="paragraph" w:customStyle="1" w:styleId="SL">
    <w:name w:val="__S_L"/>
    <w:basedOn w:val="SM"/>
    <w:next w:val="Normal"/>
    <w:qFormat/>
    <w:rsid w:val="001C412A"/>
    <w:pPr>
      <w:spacing w:line="540" w:lineRule="exact"/>
    </w:pPr>
    <w:rPr>
      <w:spacing w:val="-8"/>
      <w:w w:val="96"/>
      <w:sz w:val="57"/>
    </w:rPr>
  </w:style>
  <w:style w:type="paragraph" w:customStyle="1" w:styleId="SS">
    <w:name w:val="__S_S"/>
    <w:basedOn w:val="HCh"/>
    <w:next w:val="Normal"/>
    <w:qFormat/>
    <w:rsid w:val="001C412A"/>
    <w:pPr>
      <w:ind w:left="1267" w:right="1267"/>
    </w:pPr>
  </w:style>
  <w:style w:type="paragraph" w:customStyle="1" w:styleId="SingleTxt">
    <w:name w:val="__Single Txt"/>
    <w:basedOn w:val="Normal"/>
    <w:link w:val="SingleTxtChar"/>
    <w:qFormat/>
    <w:rsid w:val="001C41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jc w:val="both"/>
    </w:pPr>
    <w:rPr>
      <w:rFonts w:eastAsiaTheme="minorHAnsi"/>
      <w:spacing w:val="4"/>
      <w:w w:val="103"/>
      <w:kern w:val="14"/>
      <w:szCs w:val="22"/>
      <w:lang w:eastAsia="en-US"/>
    </w:rPr>
  </w:style>
  <w:style w:type="paragraph" w:customStyle="1" w:styleId="AgendaItemNormal">
    <w:name w:val="Agenda_Item_Normal"/>
    <w:next w:val="Normal"/>
    <w:qFormat/>
    <w:rsid w:val="001C412A"/>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1C412A"/>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1C412A"/>
    <w:pPr>
      <w:keepNext/>
      <w:keepLines/>
      <w:spacing w:line="240" w:lineRule="exact"/>
      <w:ind w:left="0" w:right="0" w:firstLine="0"/>
      <w:outlineLvl w:val="1"/>
    </w:pPr>
    <w:rPr>
      <w:sz w:val="20"/>
    </w:rPr>
  </w:style>
  <w:style w:type="paragraph" w:customStyle="1" w:styleId="Bullet1">
    <w:name w:val="Bullet 1"/>
    <w:basedOn w:val="Normal"/>
    <w:qFormat/>
    <w:rsid w:val="001C412A"/>
    <w:pPr>
      <w:numPr>
        <w:numId w:val="26"/>
      </w:numPr>
      <w:suppressAutoHyphens/>
      <w:spacing w:after="120"/>
      <w:ind w:right="1264"/>
    </w:pPr>
    <w:rPr>
      <w:rFonts w:eastAsiaTheme="minorHAnsi"/>
      <w:spacing w:val="4"/>
      <w:w w:val="103"/>
      <w:szCs w:val="22"/>
      <w:lang w:eastAsia="en-US"/>
    </w:rPr>
  </w:style>
  <w:style w:type="paragraph" w:customStyle="1" w:styleId="Bullet2">
    <w:name w:val="Bullet 2"/>
    <w:basedOn w:val="Normal"/>
    <w:qFormat/>
    <w:rsid w:val="001C412A"/>
    <w:pPr>
      <w:numPr>
        <w:numId w:val="27"/>
      </w:numPr>
      <w:suppressAutoHyphens/>
      <w:spacing w:after="120"/>
      <w:ind w:right="1264"/>
    </w:pPr>
    <w:rPr>
      <w:rFonts w:eastAsiaTheme="minorHAnsi"/>
      <w:spacing w:val="4"/>
      <w:w w:val="103"/>
      <w:szCs w:val="22"/>
      <w:lang w:eastAsia="en-US"/>
    </w:rPr>
  </w:style>
  <w:style w:type="paragraph" w:customStyle="1" w:styleId="Bullet3">
    <w:name w:val="Bullet 3"/>
    <w:basedOn w:val="SingleTxt"/>
    <w:qFormat/>
    <w:rsid w:val="001C412A"/>
    <w:pPr>
      <w:numPr>
        <w:numId w:val="2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1C412A"/>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1C412A"/>
    <w:pPr>
      <w:spacing w:after="80"/>
    </w:pPr>
  </w:style>
  <w:style w:type="character" w:customStyle="1" w:styleId="EndnoteTextChar">
    <w:name w:val="Endnote Text Char"/>
    <w:basedOn w:val="DefaultParagraphFont"/>
    <w:link w:val="EndnoteText"/>
    <w:semiHidden/>
    <w:rsid w:val="001C412A"/>
    <w:rPr>
      <w:rFonts w:ascii="Times New Roman" w:eastAsiaTheme="minorHAnsi" w:hAnsi="Times New Roman" w:cs="Times New Roman"/>
      <w:spacing w:val="5"/>
      <w:w w:val="104"/>
      <w:sz w:val="17"/>
      <w:lang w:val="es-ES" w:eastAsia="en-US"/>
    </w:rPr>
  </w:style>
  <w:style w:type="character" w:styleId="FootnoteReference">
    <w:name w:val="footnote reference"/>
    <w:semiHidden/>
    <w:rsid w:val="001C412A"/>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C412A"/>
    <w:pPr>
      <w:tabs>
        <w:tab w:val="right" w:pos="418"/>
      </w:tabs>
      <w:suppressAutoHyphens/>
      <w:spacing w:line="210" w:lineRule="exact"/>
      <w:ind w:left="475" w:hanging="475"/>
    </w:pPr>
    <w:rPr>
      <w:rFonts w:eastAsiaTheme="minorHAnsi"/>
      <w:spacing w:val="5"/>
      <w:w w:val="104"/>
      <w:sz w:val="17"/>
      <w:szCs w:val="22"/>
      <w:lang w:eastAsia="en-US"/>
    </w:rPr>
  </w:style>
  <w:style w:type="character" w:customStyle="1" w:styleId="FootnoteTextChar">
    <w:name w:val="Footnote Text Char"/>
    <w:basedOn w:val="DefaultParagraphFont"/>
    <w:link w:val="FootnoteText"/>
    <w:rsid w:val="001C412A"/>
    <w:rPr>
      <w:rFonts w:ascii="Times New Roman" w:eastAsiaTheme="minorHAnsi" w:hAnsi="Times New Roman" w:cs="Times New Roman"/>
      <w:spacing w:val="5"/>
      <w:w w:val="104"/>
      <w:sz w:val="17"/>
      <w:lang w:val="es-ES" w:eastAsia="en-US"/>
    </w:rPr>
  </w:style>
  <w:style w:type="character" w:customStyle="1" w:styleId="Heading1Char">
    <w:name w:val="Heading 1 Char"/>
    <w:link w:val="Heading1"/>
    <w:uiPriority w:val="9"/>
    <w:rsid w:val="001C412A"/>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1C412A"/>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1C412A"/>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lang w:val="ru-RU"/>
    </w:rPr>
  </w:style>
  <w:style w:type="paragraph" w:styleId="ListContinue2">
    <w:name w:val="List Continue 2"/>
    <w:basedOn w:val="Normal"/>
    <w:next w:val="Normal"/>
    <w:uiPriority w:val="99"/>
    <w:rsid w:val="009D56BA"/>
    <w:pPr>
      <w:numPr>
        <w:numId w:val="1"/>
      </w:numPr>
      <w:tabs>
        <w:tab w:val="left" w:pos="792"/>
      </w:tabs>
      <w:spacing w:after="120"/>
    </w:pPr>
    <w:rPr>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lang w:val="ru-RU"/>
    </w:rPr>
  </w:style>
  <w:style w:type="paragraph" w:styleId="NoSpacing">
    <w:name w:val="No Spacing"/>
    <w:basedOn w:val="Normal"/>
    <w:uiPriority w:val="1"/>
    <w:rsid w:val="001C412A"/>
    <w:pPr>
      <w:suppressAutoHyphens/>
    </w:pPr>
    <w:rPr>
      <w:rFonts w:eastAsiaTheme="minorHAnsi"/>
      <w:spacing w:val="4"/>
      <w:w w:val="103"/>
      <w:szCs w:val="22"/>
      <w:lang w:eastAsia="en-US"/>
    </w:rPr>
  </w:style>
  <w:style w:type="paragraph" w:customStyle="1" w:styleId="Original">
    <w:name w:val="Original"/>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1C412A"/>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1C412A"/>
    <w:pPr>
      <w:tabs>
        <w:tab w:val="right" w:pos="9965"/>
      </w:tabs>
      <w:suppressAutoHyphens/>
      <w:spacing w:line="210" w:lineRule="exact"/>
    </w:pPr>
    <w:rPr>
      <w:rFonts w:eastAsiaTheme="minorHAnsi"/>
      <w:spacing w:val="5"/>
      <w:w w:val="104"/>
      <w:kern w:val="14"/>
      <w:sz w:val="17"/>
      <w:szCs w:val="22"/>
      <w:lang w:eastAsia="en-US"/>
    </w:rPr>
  </w:style>
  <w:style w:type="paragraph" w:customStyle="1" w:styleId="SmallX">
    <w:name w:val="SmallX"/>
    <w:basedOn w:val="Small"/>
    <w:next w:val="Normal"/>
    <w:qFormat/>
    <w:rsid w:val="001C412A"/>
    <w:pPr>
      <w:spacing w:line="180" w:lineRule="exact"/>
      <w:jc w:val="right"/>
    </w:pPr>
    <w:rPr>
      <w:spacing w:val="6"/>
      <w:w w:val="106"/>
      <w:sz w:val="14"/>
    </w:rPr>
  </w:style>
  <w:style w:type="paragraph" w:customStyle="1" w:styleId="TitleHCH">
    <w:name w:val="Title_H_CH"/>
    <w:basedOn w:val="HCh"/>
    <w:next w:val="SingleTxt"/>
    <w:qFormat/>
    <w:rsid w:val="001C412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C412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1C412A"/>
    <w:pPr>
      <w:tabs>
        <w:tab w:val="right" w:leader="dot" w:pos="360"/>
      </w:tabs>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eastAsiaTheme="minorHAnsi"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1C412A"/>
    <w:pPr>
      <w:suppressAutoHyphens/>
    </w:pPr>
    <w:rPr>
      <w:rFonts w:ascii="Tahoma" w:eastAsiaTheme="minorHAnsi" w:hAnsi="Tahoma" w:cs="Tahoma"/>
      <w:spacing w:val="4"/>
      <w:w w:val="103"/>
      <w:sz w:val="16"/>
      <w:szCs w:val="16"/>
      <w:lang w:eastAsia="en-US"/>
    </w:rPr>
  </w:style>
  <w:style w:type="character" w:customStyle="1" w:styleId="BalloonTextChar">
    <w:name w:val="Balloon Text Char"/>
    <w:basedOn w:val="DefaultParagraphFont"/>
    <w:link w:val="BalloonText"/>
    <w:semiHidden/>
    <w:rsid w:val="001C412A"/>
    <w:rPr>
      <w:rFonts w:ascii="Tahoma" w:eastAsiaTheme="minorHAnsi" w:hAnsi="Tahoma" w:cs="Tahoma"/>
      <w:spacing w:val="4"/>
      <w:w w:val="103"/>
      <w:sz w:val="16"/>
      <w:szCs w:val="16"/>
      <w:lang w:val="es-ES"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rPr>
  </w:style>
  <w:style w:type="character" w:styleId="FollowedHyperlink">
    <w:name w:val="FollowedHyperlink"/>
    <w:basedOn w:val="DefaultParagraphFont"/>
    <w:uiPriority w:val="99"/>
    <w:semiHidden/>
    <w:unhideWhenUsed/>
    <w:rsid w:val="00EA1709"/>
    <w:rPr>
      <w:color w:val="0000FF"/>
      <w:u w:val="single"/>
    </w:rPr>
  </w:style>
  <w:style w:type="character" w:styleId="Hyperlink">
    <w:name w:val="Hyperlink"/>
    <w:basedOn w:val="DefaultParagraphFont"/>
    <w:rsid w:val="00871053"/>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z w:val="20"/>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871053"/>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pPr>
  </w:style>
  <w:style w:type="paragraph" w:customStyle="1" w:styleId="SRMeetingInfo">
    <w:name w:val="SR_Meeting_Info"/>
    <w:next w:val="Normal"/>
    <w:qFormat/>
    <w:rsid w:val="00EA1709"/>
    <w:pPr>
      <w:spacing w:after="0" w:line="240" w:lineRule="exact"/>
    </w:pPr>
    <w:rPr>
      <w:rFonts w:ascii="Times New Roman" w:eastAsiaTheme="minorHAnsi"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1C412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iCs/>
      <w:spacing w:val="3"/>
      <w:w w:val="103"/>
      <w:kern w:val="14"/>
      <w:sz w:val="14"/>
      <w:lang w:eastAsia="en-US"/>
    </w:rPr>
  </w:style>
  <w:style w:type="character" w:customStyle="1" w:styleId="SingleTxtChar">
    <w:name w:val="__Single Txt Char"/>
    <w:link w:val="SingleTxt"/>
    <w:qFormat/>
    <w:locked/>
    <w:rsid w:val="00C60123"/>
    <w:rPr>
      <w:rFonts w:ascii="Times New Roman" w:eastAsiaTheme="minorHAnsi" w:hAnsi="Times New Roman" w:cs="Times New Roman"/>
      <w:spacing w:val="4"/>
      <w:w w:val="103"/>
      <w:kern w:val="14"/>
      <w:sz w:val="20"/>
      <w:lang w:val="es-ES" w:eastAsia="en-US"/>
    </w:rPr>
  </w:style>
  <w:style w:type="paragraph" w:styleId="Caption">
    <w:name w:val="caption"/>
    <w:basedOn w:val="Normal"/>
    <w:next w:val="Normal"/>
    <w:uiPriority w:val="35"/>
    <w:semiHidden/>
    <w:unhideWhenUsed/>
    <w:rsid w:val="001C412A"/>
    <w:pPr>
      <w:suppressAutoHyphens/>
    </w:pPr>
    <w:rPr>
      <w:rFonts w:eastAsiaTheme="minorHAnsi"/>
      <w:b/>
      <w:bCs/>
      <w:color w:val="4F81BD"/>
      <w:spacing w:val="4"/>
      <w:w w:val="103"/>
      <w:sz w:val="18"/>
      <w:szCs w:val="18"/>
      <w:lang w:eastAsia="en-US"/>
    </w:rPr>
  </w:style>
  <w:style w:type="character" w:styleId="CommentReference">
    <w:name w:val="annotation reference"/>
    <w:semiHidden/>
    <w:rsid w:val="001C412A"/>
    <w:rPr>
      <w:sz w:val="6"/>
    </w:rPr>
  </w:style>
  <w:style w:type="paragraph" w:customStyle="1" w:styleId="HdBanner">
    <w:name w:val="Hd Banner"/>
    <w:basedOn w:val="Normal"/>
    <w:next w:val="Normal"/>
    <w:qFormat/>
    <w:rsid w:val="001C412A"/>
    <w:pPr>
      <w:keepLines/>
      <w:shd w:val="pct10" w:color="auto" w:fill="FFFFFF"/>
      <w:tabs>
        <w:tab w:val="left" w:pos="2218"/>
      </w:tabs>
      <w:suppressAutoHyphens/>
      <w:spacing w:line="360" w:lineRule="exact"/>
    </w:pPr>
    <w:rPr>
      <w:rFonts w:eastAsiaTheme="minorHAnsi"/>
      <w:b/>
      <w:spacing w:val="1"/>
      <w:w w:val="103"/>
      <w:kern w:val="14"/>
      <w:position w:val="6"/>
      <w:lang w:eastAsia="en-US"/>
    </w:rPr>
  </w:style>
  <w:style w:type="paragraph" w:customStyle="1" w:styleId="HdChapterLt">
    <w:name w:val="Hd Chapter Lt"/>
    <w:basedOn w:val="Normal"/>
    <w:next w:val="Normal"/>
    <w:qFormat/>
    <w:rsid w:val="001C412A"/>
    <w:pPr>
      <w:keepNext/>
      <w:keepLines/>
      <w:tabs>
        <w:tab w:val="left" w:pos="2218"/>
      </w:tabs>
      <w:suppressAutoHyphens/>
      <w:spacing w:before="300" w:line="300" w:lineRule="exact"/>
    </w:pPr>
    <w:rPr>
      <w:rFonts w:eastAsiaTheme="minorHAnsi"/>
      <w:spacing w:val="2"/>
      <w:w w:val="96"/>
      <w:kern w:val="34"/>
      <w:sz w:val="28"/>
      <w:szCs w:val="28"/>
      <w:lang w:eastAsia="en-US"/>
    </w:rPr>
  </w:style>
  <w:style w:type="paragraph" w:customStyle="1" w:styleId="HdChapterBD">
    <w:name w:val="Hd Chapter BD"/>
    <w:basedOn w:val="HdChapterLt"/>
    <w:next w:val="Normal"/>
    <w:qFormat/>
    <w:rsid w:val="001C412A"/>
    <w:pPr>
      <w:spacing w:before="240"/>
    </w:pPr>
    <w:rPr>
      <w:b/>
      <w:spacing w:val="-2"/>
      <w:w w:val="100"/>
    </w:rPr>
  </w:style>
  <w:style w:type="paragraph" w:customStyle="1" w:styleId="HdChapterBdLg">
    <w:name w:val="Hd Chapter Bd Lg"/>
    <w:basedOn w:val="HdChapterBD"/>
    <w:next w:val="Normal"/>
    <w:qFormat/>
    <w:rsid w:val="001C412A"/>
    <w:rPr>
      <w:spacing w:val="-3"/>
      <w:w w:val="99"/>
      <w:kern w:val="14"/>
      <w:sz w:val="34"/>
      <w:szCs w:val="34"/>
    </w:rPr>
  </w:style>
  <w:style w:type="character" w:customStyle="1" w:styleId="Heading4Char">
    <w:name w:val="Heading 4 Char"/>
    <w:link w:val="Heading4"/>
    <w:uiPriority w:val="9"/>
    <w:rsid w:val="001C412A"/>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1C412A"/>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1C412A"/>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1C412A"/>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1C412A"/>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1C412A"/>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1C412A"/>
    <w:pPr>
      <w:keepNext/>
      <w:suppressAutoHyphens/>
      <w:spacing w:before="190" w:line="270" w:lineRule="exact"/>
    </w:pPr>
    <w:rPr>
      <w:rFonts w:eastAsiaTheme="minorHAnsi"/>
      <w:b/>
      <w:spacing w:val="4"/>
      <w:w w:val="103"/>
      <w:kern w:val="14"/>
      <w:szCs w:val="22"/>
      <w:lang w:eastAsia="en-US"/>
    </w:rPr>
  </w:style>
  <w:style w:type="paragraph" w:customStyle="1" w:styleId="JournalHeading2">
    <w:name w:val="Journal_Heading2"/>
    <w:basedOn w:val="Normal"/>
    <w:next w:val="Normal"/>
    <w:qFormat/>
    <w:rsid w:val="001C412A"/>
    <w:pPr>
      <w:keepNext/>
      <w:keepLines/>
      <w:suppressAutoHyphens/>
      <w:spacing w:before="240"/>
      <w:outlineLvl w:val="1"/>
    </w:pPr>
    <w:rPr>
      <w:rFonts w:eastAsiaTheme="minorHAnsi"/>
      <w:b/>
      <w:spacing w:val="2"/>
      <w:w w:val="103"/>
      <w:kern w:val="14"/>
      <w:szCs w:val="22"/>
      <w:lang w:eastAsia="en-US"/>
    </w:rPr>
  </w:style>
  <w:style w:type="paragraph" w:customStyle="1" w:styleId="JournalHeading4">
    <w:name w:val="Journal_Heading4"/>
    <w:basedOn w:val="Normal"/>
    <w:next w:val="Normal"/>
    <w:qFormat/>
    <w:rsid w:val="001C412A"/>
    <w:pPr>
      <w:keepNext/>
      <w:keepLines/>
      <w:suppressAutoHyphens/>
      <w:spacing w:before="240"/>
      <w:outlineLvl w:val="3"/>
    </w:pPr>
    <w:rPr>
      <w:rFonts w:eastAsiaTheme="minorHAnsi"/>
      <w:i/>
      <w:spacing w:val="4"/>
      <w:w w:val="103"/>
      <w:kern w:val="14"/>
      <w:szCs w:val="22"/>
      <w:lang w:eastAsia="en-US"/>
    </w:rPr>
  </w:style>
  <w:style w:type="character" w:styleId="LineNumber">
    <w:name w:val="line number"/>
    <w:qFormat/>
    <w:rsid w:val="001C412A"/>
    <w:rPr>
      <w:sz w:val="14"/>
    </w:rPr>
  </w:style>
  <w:style w:type="paragraph" w:customStyle="1" w:styleId="NormalBullet">
    <w:name w:val="Normal Bullet"/>
    <w:basedOn w:val="Normal"/>
    <w:next w:val="Normal"/>
    <w:qFormat/>
    <w:rsid w:val="001C412A"/>
    <w:pPr>
      <w:keepLines/>
      <w:numPr>
        <w:numId w:val="29"/>
      </w:numPr>
      <w:tabs>
        <w:tab w:val="left" w:pos="2218"/>
      </w:tabs>
      <w:suppressAutoHyphens/>
      <w:spacing w:before="40" w:after="80"/>
      <w:ind w:right="302"/>
    </w:pPr>
    <w:rPr>
      <w:rFonts w:eastAsiaTheme="minorHAnsi"/>
      <w:spacing w:val="4"/>
      <w:w w:val="103"/>
      <w:kern w:val="14"/>
      <w:szCs w:val="22"/>
      <w:lang w:eastAsia="en-US"/>
    </w:rPr>
  </w:style>
  <w:style w:type="paragraph" w:customStyle="1" w:styleId="NormalSchedule">
    <w:name w:val="Normal Schedule"/>
    <w:basedOn w:val="Normal"/>
    <w:next w:val="Normal"/>
    <w:qFormat/>
    <w:rsid w:val="001C412A"/>
    <w:pPr>
      <w:tabs>
        <w:tab w:val="left" w:leader="dot" w:pos="2218"/>
        <w:tab w:val="left" w:pos="2707"/>
        <w:tab w:val="right" w:leader="dot" w:pos="9835"/>
      </w:tabs>
      <w:suppressAutoHyphens/>
    </w:pPr>
    <w:rPr>
      <w:rFonts w:eastAsiaTheme="minorHAnsi"/>
      <w:spacing w:val="4"/>
      <w:w w:val="103"/>
      <w:kern w:val="14"/>
      <w:szCs w:val="22"/>
      <w:lang w:eastAsia="en-US"/>
    </w:rPr>
  </w:style>
  <w:style w:type="paragraph" w:styleId="TOCHeading">
    <w:name w:val="TOC Heading"/>
    <w:basedOn w:val="Heading1"/>
    <w:next w:val="Normal"/>
    <w:uiPriority w:val="39"/>
    <w:semiHidden/>
    <w:unhideWhenUsed/>
    <w:qFormat/>
    <w:rsid w:val="001C412A"/>
    <w:pPr>
      <w:outlineLvl w:val="9"/>
    </w:pPr>
    <w:rPr>
      <w:rFonts w:eastAsiaTheme="majorEastAsia" w:cstheme="majorBidi"/>
      <w:lang w:bidi="en-US"/>
    </w:rPr>
  </w:style>
  <w:style w:type="paragraph" w:styleId="PlainText">
    <w:name w:val="Plain Text"/>
    <w:basedOn w:val="Normal"/>
    <w:link w:val="PlainTextChar"/>
    <w:rsid w:val="00871053"/>
    <w:rPr>
      <w:rFonts w:ascii="Courier New" w:hAnsi="Courier New"/>
      <w:lang w:eastAsia="en-GB"/>
    </w:rPr>
  </w:style>
  <w:style w:type="character" w:customStyle="1" w:styleId="PlainTextChar">
    <w:name w:val="Plain Text Char"/>
    <w:basedOn w:val="DefaultParagraphFont"/>
    <w:link w:val="PlainText"/>
    <w:rsid w:val="00871053"/>
    <w:rPr>
      <w:rFonts w:ascii="Courier New" w:eastAsia="Times New Roman" w:hAnsi="Courier New" w:cs="Times New Roman"/>
      <w:sz w:val="20"/>
      <w:szCs w:val="20"/>
      <w:lang w:eastAsia="en-GB"/>
    </w:rPr>
  </w:style>
  <w:style w:type="paragraph" w:customStyle="1" w:styleId="ReleaseDate0">
    <w:name w:val="Release Date"/>
    <w:next w:val="Footer"/>
    <w:rsid w:val="00871053"/>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rsid w:val="00871053"/>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727155"/>
    <w:pPr>
      <w:keepNext/>
      <w:keepLines/>
      <w:spacing w:line="3240" w:lineRule="auto"/>
      <w:ind w:left="1267" w:right="1267" w:hanging="1267"/>
      <w:outlineLvl w:val="0"/>
    </w:pPr>
    <w:rPr>
      <w:b/>
      <w:color w:val="0000FF"/>
      <w:kern w:val="14"/>
      <w:sz w:val="24"/>
      <w:szCs w:val="20"/>
    </w:rPr>
  </w:style>
  <w:style w:type="paragraph" w:customStyle="1" w:styleId="BLUEHeadingH2">
    <w:name w:val="BLUE_Heading_H2"/>
    <w:basedOn w:val="BLUEHeadingH1"/>
    <w:next w:val="Normal"/>
    <w:qFormat/>
    <w:rsid w:val="003F75F8"/>
    <w:pPr>
      <w:keepNext w:val="0"/>
      <w:keepLines w:val="0"/>
      <w:spacing w:line="240" w:lineRule="exact"/>
      <w:ind w:left="0" w:right="0" w:firstLine="0"/>
      <w:outlineLvl w:val="1"/>
    </w:pPr>
    <w:rPr>
      <w:sz w:val="20"/>
    </w:rPr>
  </w:style>
  <w:style w:type="paragraph" w:styleId="Title">
    <w:name w:val="Title"/>
    <w:basedOn w:val="Normal"/>
    <w:next w:val="Normal"/>
    <w:link w:val="TitleChar"/>
    <w:uiPriority w:val="10"/>
    <w:qFormat/>
    <w:rsid w:val="00E97F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70"/>
    <w:rPr>
      <w:rFonts w:asciiTheme="majorHAnsi" w:eastAsiaTheme="majorEastAsia" w:hAnsiTheme="majorHAnsi" w:cstheme="majorBidi"/>
      <w:spacing w:val="-10"/>
      <w:kern w:val="28"/>
      <w:sz w:val="56"/>
      <w:szCs w:val="56"/>
      <w:lang w:val="es-ES" w:eastAsia="de-DE"/>
    </w:rPr>
  </w:style>
  <w:style w:type="paragraph" w:styleId="Subtitle">
    <w:name w:val="Subtitle"/>
    <w:basedOn w:val="Normal"/>
    <w:next w:val="Normal"/>
    <w:link w:val="SubtitleChar"/>
    <w:uiPriority w:val="11"/>
    <w:qFormat/>
    <w:rsid w:val="00E97F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F70"/>
    <w:rPr>
      <w:rFonts w:eastAsiaTheme="majorEastAsia" w:cstheme="majorBidi"/>
      <w:color w:val="595959" w:themeColor="text1" w:themeTint="A6"/>
      <w:spacing w:val="15"/>
      <w:sz w:val="28"/>
      <w:szCs w:val="28"/>
      <w:lang w:val="es-ES" w:eastAsia="de-DE"/>
    </w:rPr>
  </w:style>
  <w:style w:type="paragraph" w:styleId="Quote">
    <w:name w:val="Quote"/>
    <w:basedOn w:val="Normal"/>
    <w:next w:val="Normal"/>
    <w:link w:val="QuoteChar"/>
    <w:uiPriority w:val="29"/>
    <w:qFormat/>
    <w:rsid w:val="00E97F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F70"/>
    <w:rPr>
      <w:rFonts w:ascii="Times New Roman" w:eastAsia="Times New Roman" w:hAnsi="Times New Roman" w:cs="Times New Roman"/>
      <w:i/>
      <w:iCs/>
      <w:color w:val="404040" w:themeColor="text1" w:themeTint="BF"/>
      <w:szCs w:val="24"/>
      <w:lang w:val="es-ES" w:eastAsia="de-DE"/>
    </w:rPr>
  </w:style>
  <w:style w:type="paragraph" w:styleId="ListParagraph">
    <w:name w:val="List Paragraph"/>
    <w:basedOn w:val="Normal"/>
    <w:uiPriority w:val="34"/>
    <w:qFormat/>
    <w:rsid w:val="00E97F70"/>
    <w:pPr>
      <w:ind w:left="720"/>
      <w:contextualSpacing/>
    </w:pPr>
  </w:style>
  <w:style w:type="character" w:styleId="IntenseEmphasis">
    <w:name w:val="Intense Emphasis"/>
    <w:basedOn w:val="DefaultParagraphFont"/>
    <w:uiPriority w:val="21"/>
    <w:qFormat/>
    <w:rsid w:val="00E97F70"/>
    <w:rPr>
      <w:i/>
      <w:iCs/>
      <w:color w:val="0F4761" w:themeColor="accent1" w:themeShade="BF"/>
    </w:rPr>
  </w:style>
  <w:style w:type="paragraph" w:styleId="IntenseQuote">
    <w:name w:val="Intense Quote"/>
    <w:basedOn w:val="Normal"/>
    <w:next w:val="Normal"/>
    <w:link w:val="IntenseQuoteChar"/>
    <w:uiPriority w:val="30"/>
    <w:qFormat/>
    <w:rsid w:val="00E97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F70"/>
    <w:rPr>
      <w:rFonts w:ascii="Times New Roman" w:eastAsia="Times New Roman" w:hAnsi="Times New Roman" w:cs="Times New Roman"/>
      <w:i/>
      <w:iCs/>
      <w:color w:val="0F4761" w:themeColor="accent1" w:themeShade="BF"/>
      <w:szCs w:val="24"/>
      <w:lang w:val="es-ES" w:eastAsia="de-DE"/>
    </w:rPr>
  </w:style>
  <w:style w:type="character" w:styleId="IntenseReference">
    <w:name w:val="Intense Reference"/>
    <w:basedOn w:val="DefaultParagraphFont"/>
    <w:uiPriority w:val="32"/>
    <w:qFormat/>
    <w:rsid w:val="00E97F70"/>
    <w:rPr>
      <w:b/>
      <w:bCs/>
      <w:smallCaps/>
      <w:color w:val="0F4761" w:themeColor="accent1" w:themeShade="BF"/>
      <w:spacing w:val="5"/>
    </w:rPr>
  </w:style>
  <w:style w:type="paragraph" w:styleId="CommentText">
    <w:name w:val="annotation text"/>
    <w:basedOn w:val="Normal"/>
    <w:link w:val="CommentTextChar"/>
    <w:uiPriority w:val="99"/>
    <w:semiHidden/>
    <w:unhideWhenUsed/>
    <w:rsid w:val="00C862B8"/>
    <w:pPr>
      <w:spacing w:line="240" w:lineRule="auto"/>
    </w:pPr>
    <w:rPr>
      <w:szCs w:val="20"/>
    </w:rPr>
  </w:style>
  <w:style w:type="character" w:customStyle="1" w:styleId="CommentTextChar">
    <w:name w:val="Comment Text Char"/>
    <w:basedOn w:val="DefaultParagraphFont"/>
    <w:link w:val="CommentText"/>
    <w:uiPriority w:val="99"/>
    <w:semiHidden/>
    <w:rsid w:val="00C862B8"/>
    <w:rPr>
      <w:rFonts w:ascii="Times New Roman" w:eastAsia="Times New Roman" w:hAnsi="Times New Roman" w:cs="Times New Roman"/>
      <w:sz w:val="20"/>
      <w:szCs w:val="20"/>
      <w:lang w:val="es-ES" w:eastAsia="de-DE"/>
    </w:rPr>
  </w:style>
  <w:style w:type="paragraph" w:styleId="CommentSubject">
    <w:name w:val="annotation subject"/>
    <w:basedOn w:val="CommentText"/>
    <w:next w:val="CommentText"/>
    <w:link w:val="CommentSubjectChar"/>
    <w:uiPriority w:val="99"/>
    <w:semiHidden/>
    <w:unhideWhenUsed/>
    <w:rsid w:val="00C862B8"/>
    <w:rPr>
      <w:b/>
      <w:bCs/>
    </w:rPr>
  </w:style>
  <w:style w:type="character" w:customStyle="1" w:styleId="CommentSubjectChar">
    <w:name w:val="Comment Subject Char"/>
    <w:basedOn w:val="CommentTextChar"/>
    <w:link w:val="CommentSubject"/>
    <w:uiPriority w:val="99"/>
    <w:semiHidden/>
    <w:rsid w:val="00C862B8"/>
    <w:rPr>
      <w:rFonts w:ascii="Times New Roman" w:eastAsia="Times New Roman" w:hAnsi="Times New Roman" w:cs="Times New Roman"/>
      <w:b/>
      <w:bCs/>
      <w:sz w:val="20"/>
      <w:szCs w:val="20"/>
      <w:lang w:val="es-ES" w:eastAsia="de-DE"/>
    </w:rPr>
  </w:style>
  <w:style w:type="character" w:customStyle="1" w:styleId="HChChar">
    <w:name w:val="_ H _Ch Char"/>
    <w:link w:val="HCh"/>
    <w:rsid w:val="006873C8"/>
    <w:rPr>
      <w:rFonts w:ascii="Times New Roman" w:eastAsiaTheme="minorHAnsi" w:hAnsi="Times New Roman" w:cs="Times New Roman"/>
      <w:b/>
      <w:spacing w:val="-2"/>
      <w:w w:val="103"/>
      <w:kern w:val="14"/>
      <w:sz w:val="28"/>
      <w:szCs w:val="24"/>
      <w:lang w:val="es-ES" w:eastAsia="en-US"/>
    </w:rPr>
  </w:style>
  <w:style w:type="character" w:customStyle="1" w:styleId="H1Char">
    <w:name w:val="_ H_1 Char"/>
    <w:link w:val="H1"/>
    <w:rsid w:val="006873C8"/>
    <w:rPr>
      <w:rFonts w:ascii="Times New Roman" w:eastAsiaTheme="minorHAnsi" w:hAnsi="Times New Roman" w:cs="Times New Roman"/>
      <w:b/>
      <w:spacing w:val="4"/>
      <w:w w:val="103"/>
      <w:kern w:val="14"/>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undocs.org/A/RES/56/51" TargetMode="External"/><Relationship Id="rId39" Type="http://schemas.openxmlformats.org/officeDocument/2006/relationships/hyperlink" Target="https://undocs.org/A/RES/65/276" TargetMode="External"/><Relationship Id="rId3" Type="http://schemas.openxmlformats.org/officeDocument/2006/relationships/customXml" Target="../customXml/item3.xml"/><Relationship Id="rId21" Type="http://schemas.openxmlformats.org/officeDocument/2006/relationships/hyperlink" Target="https://undocs.org/A/AC.105/1362" TargetMode="External"/><Relationship Id="rId34" Type="http://schemas.openxmlformats.org/officeDocument/2006/relationships/hyperlink" Target="https://undocs.org/A/RES/71/90" TargetMode="External"/><Relationship Id="rId42" Type="http://schemas.openxmlformats.org/officeDocument/2006/relationships/hyperlink" Target="https://undocs.org/A/AC.105/2025/INF/1" TargetMode="Externa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undocs.org/A/RES/49/33" TargetMode="External"/><Relationship Id="rId33" Type="http://schemas.openxmlformats.org/officeDocument/2006/relationships/hyperlink" Target="https://undocs.org/A/RES/69/85" TargetMode="External"/><Relationship Id="rId38" Type="http://schemas.openxmlformats.org/officeDocument/2006/relationships/hyperlink" Target="https://undocs.org/A/RES/77/121"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undocs.org/A/AC.105/1338" TargetMode="External"/><Relationship Id="rId29" Type="http://schemas.openxmlformats.org/officeDocument/2006/relationships/hyperlink" Target="https://undocs.org/A/RES/62/217" TargetMode="External"/><Relationship Id="rId41" Type="http://schemas.openxmlformats.org/officeDocument/2006/relationships/hyperlink" Target="https://undocs.org/A/AC.105/12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undocs.org/A/RES/35/16" TargetMode="External"/><Relationship Id="rId32" Type="http://schemas.openxmlformats.org/officeDocument/2006/relationships/hyperlink" Target="https://undocs.org/A/RES/68/75" TargetMode="External"/><Relationship Id="rId37" Type="http://schemas.openxmlformats.org/officeDocument/2006/relationships/hyperlink" Target="https://undocs.org/A/RES/76/76" TargetMode="External"/><Relationship Id="rId40" Type="http://schemas.openxmlformats.org/officeDocument/2006/relationships/hyperlink" Target="https://undocs.org/A/RES/73/91"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undocs.org/A/RES/32/196" TargetMode="External"/><Relationship Id="rId28" Type="http://schemas.openxmlformats.org/officeDocument/2006/relationships/hyperlink" Target="https://undocs.org/A/RES/59/116" TargetMode="External"/><Relationship Id="rId36" Type="http://schemas.openxmlformats.org/officeDocument/2006/relationships/hyperlink" Target="https://undocs.org/A/RES/74/82" TargetMode="Externa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hyperlink" Target="https://undocs.org/A/RES/66/71"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undocs.org/A/RES/3182(XXVIII)" TargetMode="External"/><Relationship Id="rId27" Type="http://schemas.openxmlformats.org/officeDocument/2006/relationships/hyperlink" Target="https://undocs.org/A/RES/57/116" TargetMode="External"/><Relationship Id="rId30" Type="http://schemas.openxmlformats.org/officeDocument/2006/relationships/hyperlink" Target="https://undocs.org/A/RES/65/97" TargetMode="External"/><Relationship Id="rId35" Type="http://schemas.openxmlformats.org/officeDocument/2006/relationships/hyperlink" Target="https://undocs.org/A/RES/72/77"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7F0B301749409A65B4B12ABDBF68" ma:contentTypeVersion="18" ma:contentTypeDescription="Create a new document." ma:contentTypeScope="" ma:versionID="2487de124b0c6079429421bfbb86867c">
  <xsd:schema xmlns:xsd="http://www.w3.org/2001/XMLSchema" xmlns:xs="http://www.w3.org/2001/XMLSchema" xmlns:p="http://schemas.microsoft.com/office/2006/metadata/properties" xmlns:ns2="d5d5888b-e510-4266-99c7-8c6bec673911" xmlns:ns3="107b7686-6e80-4738-b79c-0092c3236647" xmlns:ns4="985ec44e-1bab-4c0b-9df0-6ba128686fc9" targetNamespace="http://schemas.microsoft.com/office/2006/metadata/properties" ma:root="true" ma:fieldsID="f8019af670823d5980fff13f07de6b46" ns2:_="" ns3:_="" ns4:_="">
    <xsd:import namespace="d5d5888b-e510-4266-99c7-8c6bec673911"/>
    <xsd:import namespace="107b7686-6e80-4738-b79c-0092c323664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5888b-e510-4266-99c7-8c6bec673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b7686-6e80-4738-b79c-0092c32366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09b6a8-a690-4831-8d2c-ac80945e122b}" ma:internalName="TaxCatchAll" ma:showField="CatchAllData" ma:web="107b7686-6e80-4738-b79c-0092c3236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5d5888b-e510-4266-99c7-8c6bec6739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CAF7-47CE-424D-A7C9-3AD0ABB3E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5888b-e510-4266-99c7-8c6bec673911"/>
    <ds:schemaRef ds:uri="107b7686-6e80-4738-b79c-0092c323664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EAC4C-543C-4F11-A796-B2F0F86D1E27}">
  <ds:schemaRefs>
    <ds:schemaRef ds:uri="http://schemas.microsoft.com/office/2006/metadata/properties"/>
    <ds:schemaRef ds:uri="http://schemas.microsoft.com/office/infopath/2007/PartnerControls"/>
    <ds:schemaRef ds:uri="985ec44e-1bab-4c0b-9df0-6ba128686fc9"/>
    <ds:schemaRef ds:uri="d5d5888b-e510-4266-99c7-8c6bec673911"/>
  </ds:schemaRefs>
</ds:datastoreItem>
</file>

<file path=customXml/itemProps3.xml><?xml version="1.0" encoding="utf-8"?>
<ds:datastoreItem xmlns:ds="http://schemas.openxmlformats.org/officeDocument/2006/customXml" ds:itemID="{70F1B133-5683-4906-885E-6BE4E0CB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Troy Lowe Vargas</cp:lastModifiedBy>
  <cp:revision>3</cp:revision>
  <cp:lastPrinted>2025-06-30T11:01:00Z</cp:lastPrinted>
  <dcterms:created xsi:type="dcterms:W3CDTF">2025-06-30T10:50:00Z</dcterms:created>
  <dcterms:modified xsi:type="dcterms:W3CDTF">2025-06-30T11:01:00Z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2510404</vt:lpwstr>
  </property>
  <property fmtid="{D5CDD505-2E9C-101B-9397-08002B2CF9AE}" pid="3" name="ODSRefJobNo">
    <vt:lpwstr>2504595</vt:lpwstr>
  </property>
  <property fmtid="{D5CDD505-2E9C-101B-9397-08002B2CF9AE}" pid="4" name="Symbol1">
    <vt:lpwstr>A/AC.105/L.340</vt:lpwstr>
  </property>
  <property fmtid="{D5CDD505-2E9C-101B-9397-08002B2CF9AE}" pid="5" name="Symbol2">
    <vt:lpwstr/>
  </property>
  <property fmtid="{D5CDD505-2E9C-101B-9397-08002B2CF9AE}" pid="6" name="Translator">
    <vt:lpwstr/>
  </property>
  <property fmtid="{D5CDD505-2E9C-101B-9397-08002B2CF9AE}" pid="7" name="Operator">
    <vt:lpwstr>---</vt:lpwstr>
  </property>
  <property fmtid="{D5CDD505-2E9C-101B-9397-08002B2CF9AE}" pid="8" name="DraftPages">
    <vt:lpwstr> </vt:lpwstr>
  </property>
  <property fmtid="{D5CDD505-2E9C-101B-9397-08002B2CF9AE}" pid="9" name="Comment">
    <vt:lpwstr/>
  </property>
  <property fmtid="{D5CDD505-2E9C-101B-9397-08002B2CF9AE}" pid="10" name="Distribution">
    <vt:lpwstr>limitada</vt:lpwstr>
  </property>
  <property fmtid="{D5CDD505-2E9C-101B-9397-08002B2CF9AE}" pid="11" name="Publication Date">
    <vt:lpwstr>26 de junio de 2025</vt:lpwstr>
  </property>
  <property fmtid="{D5CDD505-2E9C-101B-9397-08002B2CF9AE}" pid="12" name="Original">
    <vt:lpwstr>inglés</vt:lpwstr>
  </property>
  <property fmtid="{D5CDD505-2E9C-101B-9397-08002B2CF9AE}" pid="13" name="Release Date">
    <vt:lpwstr>270625</vt:lpwstr>
  </property>
  <property fmtid="{D5CDD505-2E9C-101B-9397-08002B2CF9AE}" pid="14" name="ContentTypeId">
    <vt:lpwstr>0x010100AEE27F0B301749409A65B4B12ABDBF68</vt:lpwstr>
  </property>
  <property fmtid="{D5CDD505-2E9C-101B-9397-08002B2CF9AE}" pid="15" name="MediaServiceImageTags">
    <vt:lpwstr/>
  </property>
</Properties>
</file>